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EF3" w:rsidRPr="009F2298" w:rsidRDefault="00B72EF3" w:rsidP="00B72EF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9F2298">
        <w:rPr>
          <w:rFonts w:ascii="Times New Roman" w:hAnsi="Times New Roman" w:cs="Times New Roman"/>
          <w:sz w:val="20"/>
          <w:szCs w:val="20"/>
        </w:rPr>
        <w:t>1.pielikums</w:t>
      </w:r>
      <w:proofErr w:type="spellEnd"/>
    </w:p>
    <w:p w:rsidR="00952D77" w:rsidRDefault="005A3342" w:rsidP="00952D77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eastAsia="ar-SA"/>
        </w:rPr>
      </w:pPr>
      <w:r w:rsidRPr="009F2298">
        <w:rPr>
          <w:rFonts w:ascii="Times New Roman" w:hAnsi="Times New Roman" w:cs="Times New Roman"/>
          <w:bCs/>
          <w:sz w:val="20"/>
          <w:szCs w:val="20"/>
          <w:lang w:eastAsia="ar-SA"/>
        </w:rPr>
        <w:t>Cenu aptauja</w:t>
      </w:r>
      <w:r w:rsidR="00342035">
        <w:rPr>
          <w:rFonts w:ascii="Times New Roman" w:hAnsi="Times New Roman" w:cs="Times New Roman"/>
          <w:bCs/>
          <w:sz w:val="20"/>
          <w:szCs w:val="20"/>
          <w:lang w:eastAsia="ar-SA"/>
        </w:rPr>
        <w:t>i</w:t>
      </w:r>
      <w:r w:rsidR="00B72EF3" w:rsidRPr="009F2298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 </w:t>
      </w:r>
      <w:r w:rsidR="00B72EF3" w:rsidRPr="009F2298">
        <w:rPr>
          <w:sz w:val="20"/>
          <w:szCs w:val="20"/>
        </w:rPr>
        <w:t>“</w:t>
      </w:r>
      <w:r w:rsidR="00952D77" w:rsidRPr="00952D77">
        <w:rPr>
          <w:rFonts w:ascii="Times New Roman" w:hAnsi="Times New Roman" w:cs="Times New Roman"/>
          <w:bCs/>
          <w:sz w:val="20"/>
          <w:szCs w:val="20"/>
          <w:lang w:eastAsia="ar-SA"/>
        </w:rPr>
        <w:t>Ūdens skaitītāju ar attālinātu datu nolasīšanas funkciju</w:t>
      </w:r>
    </w:p>
    <w:p w:rsidR="00B72EF3" w:rsidRPr="00952D77" w:rsidRDefault="00952D77" w:rsidP="00952D77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eastAsia="ar-SA"/>
        </w:rPr>
      </w:pPr>
      <w:r w:rsidRPr="00952D77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 nomaiņas pakalpojums </w:t>
      </w:r>
      <w:r w:rsidR="00865574">
        <w:rPr>
          <w:rFonts w:ascii="Times New Roman" w:hAnsi="Times New Roman" w:cs="Times New Roman"/>
          <w:bCs/>
          <w:sz w:val="20"/>
          <w:szCs w:val="20"/>
          <w:lang w:eastAsia="ar-SA"/>
        </w:rPr>
        <w:t>daudzdzīvokļu mājās</w:t>
      </w:r>
      <w:r w:rsidRPr="00952D77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 </w:t>
      </w:r>
      <w:r w:rsidR="00865574" w:rsidRPr="00952D77">
        <w:rPr>
          <w:rFonts w:ascii="Times New Roman" w:hAnsi="Times New Roman" w:cs="Times New Roman"/>
          <w:bCs/>
          <w:sz w:val="20"/>
          <w:szCs w:val="20"/>
          <w:lang w:eastAsia="ar-SA"/>
        </w:rPr>
        <w:t>SIA “Ķekavas nami”</w:t>
      </w:r>
      <w:r w:rsidR="00865574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 </w:t>
      </w:r>
      <w:r w:rsidRPr="00952D77">
        <w:rPr>
          <w:rFonts w:ascii="Times New Roman" w:hAnsi="Times New Roman" w:cs="Times New Roman"/>
          <w:bCs/>
          <w:sz w:val="20"/>
          <w:szCs w:val="20"/>
          <w:lang w:eastAsia="ar-SA"/>
        </w:rPr>
        <w:t>klientiem</w:t>
      </w:r>
      <w:r w:rsidR="00B72EF3" w:rsidRPr="00952D77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” </w:t>
      </w:r>
    </w:p>
    <w:p w:rsidR="00B72EF3" w:rsidRDefault="00B72EF3" w:rsidP="00B72EF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72EF3" w:rsidRPr="009C31C2" w:rsidRDefault="00B72EF3" w:rsidP="00B72EF3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C31C2">
        <w:rPr>
          <w:rFonts w:ascii="Times New Roman" w:hAnsi="Times New Roman" w:cs="Times New Roman"/>
          <w:b/>
          <w:caps/>
          <w:sz w:val="24"/>
          <w:szCs w:val="24"/>
        </w:rPr>
        <w:t>Tehniskā specifikācija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68"/>
        <w:gridCol w:w="2221"/>
        <w:gridCol w:w="4677"/>
        <w:gridCol w:w="1701"/>
      </w:tblGrid>
      <w:tr w:rsidR="00B72EF3" w:rsidTr="00B735C5">
        <w:tc>
          <w:tcPr>
            <w:tcW w:w="468" w:type="dxa"/>
          </w:tcPr>
          <w:p w:rsidR="00B72EF3" w:rsidRDefault="00B72EF3" w:rsidP="00AA2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B72EF3" w:rsidRPr="00B50F7F" w:rsidRDefault="00B72EF3" w:rsidP="00AA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7F">
              <w:rPr>
                <w:rFonts w:ascii="Times New Roman" w:hAnsi="Times New Roman" w:cs="Times New Roman"/>
                <w:sz w:val="24"/>
                <w:szCs w:val="24"/>
              </w:rPr>
              <w:t>Veicamais darbs</w:t>
            </w:r>
          </w:p>
        </w:tc>
        <w:tc>
          <w:tcPr>
            <w:tcW w:w="4677" w:type="dxa"/>
          </w:tcPr>
          <w:p w:rsidR="00B72EF3" w:rsidRPr="00B50F7F" w:rsidRDefault="00B72EF3" w:rsidP="00AA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7F">
              <w:rPr>
                <w:rFonts w:ascii="Times New Roman" w:hAnsi="Times New Roman" w:cs="Times New Roman"/>
                <w:sz w:val="24"/>
                <w:szCs w:val="24"/>
              </w:rPr>
              <w:t>Prasības</w:t>
            </w:r>
          </w:p>
        </w:tc>
        <w:tc>
          <w:tcPr>
            <w:tcW w:w="1701" w:type="dxa"/>
          </w:tcPr>
          <w:p w:rsidR="00B72EF3" w:rsidRPr="00B50F7F" w:rsidRDefault="00B72EF3" w:rsidP="00AA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7F">
              <w:rPr>
                <w:rFonts w:ascii="Times New Roman" w:hAnsi="Times New Roman" w:cs="Times New Roman"/>
                <w:sz w:val="24"/>
                <w:szCs w:val="24"/>
              </w:rPr>
              <w:t>Atbilstības apliecinājums</w:t>
            </w:r>
          </w:p>
        </w:tc>
      </w:tr>
      <w:tr w:rsidR="00B72EF3" w:rsidTr="00B735C5">
        <w:tc>
          <w:tcPr>
            <w:tcW w:w="468" w:type="dxa"/>
          </w:tcPr>
          <w:p w:rsidR="00B72EF3" w:rsidRDefault="00B72EF3" w:rsidP="00AA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1" w:type="dxa"/>
          </w:tcPr>
          <w:p w:rsidR="00B72EF3" w:rsidRDefault="00B72EF3" w:rsidP="00AA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Skaitītāja nomaiņas laika saskaņošana</w:t>
            </w:r>
          </w:p>
        </w:tc>
        <w:tc>
          <w:tcPr>
            <w:tcW w:w="4677" w:type="dxa"/>
          </w:tcPr>
          <w:p w:rsidR="00B72EF3" w:rsidRDefault="00B72EF3" w:rsidP="00AA2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Izpildītājs veic saziņu ar Pasūtītāja norādīto māju dzīvokļa  īpašnieku vai tā pārstāvi par abpusēji ērtāko laiku, t.sk., arī ārpus darba laika</w:t>
            </w:r>
          </w:p>
        </w:tc>
        <w:tc>
          <w:tcPr>
            <w:tcW w:w="1701" w:type="dxa"/>
          </w:tcPr>
          <w:p w:rsidR="00B72EF3" w:rsidRDefault="00B72EF3" w:rsidP="00AA2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574" w:rsidTr="00016637">
        <w:trPr>
          <w:trHeight w:val="1355"/>
        </w:trPr>
        <w:tc>
          <w:tcPr>
            <w:tcW w:w="468" w:type="dxa"/>
          </w:tcPr>
          <w:p w:rsidR="00865574" w:rsidRDefault="00865574" w:rsidP="00AA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21" w:type="dxa"/>
          </w:tcPr>
          <w:p w:rsidR="00865574" w:rsidRDefault="00865574" w:rsidP="00AA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Jauna ūdens skaitītāja uzstādīšana radio moduļa nomaiņa</w:t>
            </w:r>
          </w:p>
        </w:tc>
        <w:tc>
          <w:tcPr>
            <w:tcW w:w="4677" w:type="dxa"/>
          </w:tcPr>
          <w:p w:rsidR="00865574" w:rsidRDefault="00865574" w:rsidP="00AA2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Izpildītājs uzstāda jaunu</w:t>
            </w:r>
            <w:r w:rsidR="00016637">
              <w:rPr>
                <w:rFonts w:ascii="Times New Roman" w:hAnsi="Times New Roman" w:cs="Times New Roman"/>
                <w:sz w:val="24"/>
                <w:szCs w:val="24"/>
              </w:rPr>
              <w:t xml:space="preserve"> (nelietotu)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ūdens skaitītāju, k</w:t>
            </w:r>
            <w:r w:rsidR="00A8293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aprīko ar esošo attālinātās nolasīšanas moduli.</w:t>
            </w:r>
            <w:bookmarkStart w:id="0" w:name="_GoBack"/>
            <w:bookmarkEnd w:id="0"/>
          </w:p>
        </w:tc>
        <w:tc>
          <w:tcPr>
            <w:tcW w:w="1701" w:type="dxa"/>
          </w:tcPr>
          <w:p w:rsidR="00865574" w:rsidRDefault="00865574" w:rsidP="00AA2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DC" w:rsidTr="00B735C5">
        <w:trPr>
          <w:trHeight w:val="562"/>
        </w:trPr>
        <w:tc>
          <w:tcPr>
            <w:tcW w:w="468" w:type="dxa"/>
          </w:tcPr>
          <w:p w:rsidR="001B20DC" w:rsidRDefault="001B20DC" w:rsidP="00AA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2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83"/>
              <w:gridCol w:w="222"/>
            </w:tblGrid>
            <w:tr w:rsidR="001B20DC" w:rsidRPr="00D825E8" w:rsidTr="00AA2C08">
              <w:trPr>
                <w:trHeight w:val="109"/>
              </w:trPr>
              <w:tc>
                <w:tcPr>
                  <w:tcW w:w="0" w:type="auto"/>
                </w:tcPr>
                <w:p w:rsidR="001B20DC" w:rsidRPr="00D825E8" w:rsidRDefault="001B20DC" w:rsidP="00AA2C08">
                  <w:pPr>
                    <w:pStyle w:val="Default"/>
                  </w:pPr>
                  <w:r w:rsidRPr="00D825E8">
                    <w:t xml:space="preserve">Skaitītāju </w:t>
                  </w:r>
                  <w:r>
                    <w:t>p</w:t>
                  </w:r>
                  <w:r w:rsidRPr="00D825E8">
                    <w:t xml:space="preserve">lombēšana </w:t>
                  </w:r>
                </w:p>
              </w:tc>
              <w:tc>
                <w:tcPr>
                  <w:tcW w:w="0" w:type="auto"/>
                </w:tcPr>
                <w:p w:rsidR="001B20DC" w:rsidRPr="00D825E8" w:rsidRDefault="001B20DC" w:rsidP="00AA2C08">
                  <w:pPr>
                    <w:pStyle w:val="Default"/>
                  </w:pPr>
                  <w:r w:rsidRPr="00D825E8">
                    <w:t xml:space="preserve"> </w:t>
                  </w:r>
                </w:p>
              </w:tc>
            </w:tr>
          </w:tbl>
          <w:p w:rsidR="001B20DC" w:rsidRPr="00D825E8" w:rsidRDefault="001B20DC" w:rsidP="00AA2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B20DC" w:rsidRPr="001B20DC" w:rsidRDefault="001B20DC" w:rsidP="00AA2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C">
              <w:rPr>
                <w:rFonts w:ascii="Times New Roman" w:hAnsi="Times New Roman" w:cs="Times New Roman"/>
                <w:sz w:val="24"/>
                <w:szCs w:val="24"/>
              </w:rPr>
              <w:t xml:space="preserve">Izpildītājs plombēšanu veic ar savu </w:t>
            </w:r>
            <w:r w:rsidR="003F23B9">
              <w:rPr>
                <w:rFonts w:ascii="Times New Roman" w:hAnsi="Times New Roman" w:cs="Times New Roman"/>
                <w:sz w:val="24"/>
                <w:szCs w:val="24"/>
              </w:rPr>
              <w:t xml:space="preserve">plombēšanas </w:t>
            </w:r>
            <w:r w:rsidRPr="001B20DC">
              <w:rPr>
                <w:rFonts w:ascii="Times New Roman" w:hAnsi="Times New Roman" w:cs="Times New Roman"/>
                <w:sz w:val="24"/>
                <w:szCs w:val="24"/>
              </w:rPr>
              <w:t>materiālu uzreiz pēc skaitītāja uzstādīšanas</w:t>
            </w:r>
          </w:p>
        </w:tc>
        <w:tc>
          <w:tcPr>
            <w:tcW w:w="1701" w:type="dxa"/>
          </w:tcPr>
          <w:p w:rsidR="001B20DC" w:rsidRDefault="001B20DC" w:rsidP="00AA2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EF3" w:rsidTr="00B735C5">
        <w:tc>
          <w:tcPr>
            <w:tcW w:w="468" w:type="dxa"/>
            <w:vMerge w:val="restart"/>
          </w:tcPr>
          <w:p w:rsidR="00B72EF3" w:rsidRDefault="00B72EF3" w:rsidP="00AA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21" w:type="dxa"/>
            <w:vMerge w:val="restart"/>
          </w:tcPr>
          <w:p w:rsidR="00B72EF3" w:rsidRDefault="00B72EF3" w:rsidP="00AA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Nomaiņas akta sagatavošana</w:t>
            </w:r>
          </w:p>
        </w:tc>
        <w:tc>
          <w:tcPr>
            <w:tcW w:w="4677" w:type="dxa"/>
          </w:tcPr>
          <w:p w:rsidR="00B72EF3" w:rsidRPr="001B20DC" w:rsidRDefault="00B72EF3" w:rsidP="00AA2C08">
            <w:pPr>
              <w:pStyle w:val="Default"/>
              <w:jc w:val="both"/>
            </w:pPr>
            <w:r w:rsidRPr="001B20DC">
              <w:rPr>
                <w:sz w:val="23"/>
                <w:szCs w:val="23"/>
              </w:rPr>
              <w:t>Izpildītājam jāsagat</w:t>
            </w:r>
            <w:r w:rsidR="004161AC" w:rsidRPr="001B20DC">
              <w:rPr>
                <w:sz w:val="23"/>
                <w:szCs w:val="23"/>
              </w:rPr>
              <w:t>a</w:t>
            </w:r>
            <w:r w:rsidRPr="001B20DC">
              <w:rPr>
                <w:sz w:val="23"/>
                <w:szCs w:val="23"/>
              </w:rPr>
              <w:t xml:space="preserve">vo akts (var būt Izpildītāja forma) divos eksemplāros, kurā fiksē nomaiņas datum, noņemtā skaitītāja numuram, rādījumu noņemšanas brīdi un uzstādītā skaitītāja numuru, tā sākotnējo rādījumu, kā arī uzstādītās </w:t>
            </w:r>
            <w:proofErr w:type="spellStart"/>
            <w:r w:rsidRPr="001B20DC">
              <w:rPr>
                <w:sz w:val="23"/>
                <w:szCs w:val="23"/>
              </w:rPr>
              <w:t>plombes</w:t>
            </w:r>
            <w:proofErr w:type="spellEnd"/>
            <w:r w:rsidRPr="001B20DC">
              <w:rPr>
                <w:sz w:val="23"/>
                <w:szCs w:val="23"/>
              </w:rPr>
              <w:t xml:space="preserve"> numuru</w:t>
            </w:r>
          </w:p>
        </w:tc>
        <w:tc>
          <w:tcPr>
            <w:tcW w:w="1701" w:type="dxa"/>
          </w:tcPr>
          <w:p w:rsidR="00B72EF3" w:rsidRDefault="00B72EF3" w:rsidP="00AA2C08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B72EF3" w:rsidTr="00B735C5">
        <w:trPr>
          <w:trHeight w:val="640"/>
        </w:trPr>
        <w:tc>
          <w:tcPr>
            <w:tcW w:w="468" w:type="dxa"/>
            <w:vMerge/>
          </w:tcPr>
          <w:p w:rsidR="00B72EF3" w:rsidRDefault="00B72EF3" w:rsidP="00AA2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B72EF3" w:rsidRDefault="00B72EF3" w:rsidP="00AA2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72EF3" w:rsidRPr="001B20DC" w:rsidRDefault="00B72EF3" w:rsidP="00AA2C08">
            <w:pPr>
              <w:pStyle w:val="Default"/>
              <w:jc w:val="both"/>
              <w:rPr>
                <w:sz w:val="23"/>
                <w:szCs w:val="23"/>
              </w:rPr>
            </w:pPr>
            <w:r w:rsidRPr="001B20DC">
              <w:rPr>
                <w:sz w:val="23"/>
                <w:szCs w:val="23"/>
              </w:rPr>
              <w:t xml:space="preserve">Sagatavotos aktus par darbu izpildi paraksta darba veicējs un </w:t>
            </w:r>
            <w:r w:rsidR="001B20DC" w:rsidRPr="001B20DC">
              <w:t>īpašnieks vai tā pārstāvi</w:t>
            </w:r>
            <w:r w:rsidRPr="001B20DC">
              <w:rPr>
                <w:sz w:val="23"/>
                <w:szCs w:val="23"/>
              </w:rPr>
              <w:t>, kura dzīvoklī skaitītājs tiek uzstādīts. Viens akta eksemplārs tiek nodots īrniekam.</w:t>
            </w:r>
          </w:p>
        </w:tc>
        <w:tc>
          <w:tcPr>
            <w:tcW w:w="1701" w:type="dxa"/>
          </w:tcPr>
          <w:p w:rsidR="00B72EF3" w:rsidRDefault="00B72EF3" w:rsidP="00AA2C08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B72EF3" w:rsidTr="00B735C5">
        <w:tc>
          <w:tcPr>
            <w:tcW w:w="468" w:type="dxa"/>
            <w:vMerge/>
          </w:tcPr>
          <w:p w:rsidR="00B72EF3" w:rsidRDefault="00B72EF3" w:rsidP="00AA2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B72EF3" w:rsidRDefault="00B72EF3" w:rsidP="00AA2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72EF3" w:rsidRPr="001B20DC" w:rsidRDefault="00B72EF3" w:rsidP="00AA2C08">
            <w:pPr>
              <w:pStyle w:val="Default"/>
              <w:jc w:val="both"/>
              <w:rPr>
                <w:sz w:val="23"/>
                <w:szCs w:val="23"/>
              </w:rPr>
            </w:pPr>
            <w:r w:rsidRPr="001B20DC">
              <w:rPr>
                <w:sz w:val="23"/>
                <w:szCs w:val="23"/>
              </w:rPr>
              <w:t xml:space="preserve">Otru akta eksemplāru, kopā ar paveikto darbu pieņemšanas - nodošanas aktu, Izpildītājs reizi nedēļā iesniedz Pasūtītājam </w:t>
            </w:r>
          </w:p>
        </w:tc>
        <w:tc>
          <w:tcPr>
            <w:tcW w:w="1701" w:type="dxa"/>
          </w:tcPr>
          <w:p w:rsidR="00B72EF3" w:rsidRDefault="00B72EF3" w:rsidP="00AA2C08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865574" w:rsidTr="00B735C5">
        <w:tc>
          <w:tcPr>
            <w:tcW w:w="468" w:type="dxa"/>
          </w:tcPr>
          <w:p w:rsidR="00865574" w:rsidRDefault="00865574" w:rsidP="00AA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21" w:type="dxa"/>
          </w:tcPr>
          <w:p w:rsidR="00865574" w:rsidRDefault="00865574" w:rsidP="00AA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Datu apmaiņa par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</w:t>
            </w:r>
            <w:r w:rsidR="00B756BC">
              <w:rPr>
                <w:rFonts w:ascii="Times New Roman" w:hAnsi="Times New Roman" w:cs="Times New Roman"/>
                <w:sz w:val="24"/>
                <w:szCs w:val="24"/>
              </w:rPr>
              <w:t>vaco</w:t>
            </w:r>
            <w:proofErr w:type="spellEnd"/>
            <w:r w:rsidR="00B756BC">
              <w:rPr>
                <w:rFonts w:ascii="Times New Roman" w:hAnsi="Times New Roman" w:cs="Times New Roman"/>
                <w:sz w:val="24"/>
                <w:szCs w:val="24"/>
              </w:rPr>
              <w:t xml:space="preserve"> portālā reģistrētiem skaitītājiem</w:t>
            </w:r>
          </w:p>
        </w:tc>
        <w:tc>
          <w:tcPr>
            <w:tcW w:w="4677" w:type="dxa"/>
          </w:tcPr>
          <w:p w:rsidR="00865574" w:rsidRPr="001B20DC" w:rsidRDefault="00B756BC" w:rsidP="00AA2C0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Izpildītājs iesniedz informāciju Pasūtītāja pārstāvim e-pastā (Nolikuma </w:t>
            </w:r>
            <w:proofErr w:type="spellStart"/>
            <w:r>
              <w:rPr>
                <w:sz w:val="23"/>
                <w:szCs w:val="23"/>
              </w:rPr>
              <w:t>1.3.punkts</w:t>
            </w:r>
            <w:proofErr w:type="spellEnd"/>
            <w:r>
              <w:rPr>
                <w:sz w:val="23"/>
                <w:szCs w:val="23"/>
              </w:rPr>
              <w:t>) par nomainītajiem skaitītājiem un to radio moduļiem, lai pasūtītājs veiktu izmaiņas tikai tam pieejamajā datu bāzē</w:t>
            </w:r>
          </w:p>
        </w:tc>
        <w:tc>
          <w:tcPr>
            <w:tcW w:w="1701" w:type="dxa"/>
          </w:tcPr>
          <w:p w:rsidR="00865574" w:rsidRDefault="00865574" w:rsidP="00AA2C08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682EAD" w:rsidTr="00B735C5">
        <w:trPr>
          <w:trHeight w:val="484"/>
        </w:trPr>
        <w:tc>
          <w:tcPr>
            <w:tcW w:w="468" w:type="dxa"/>
          </w:tcPr>
          <w:p w:rsidR="00682EAD" w:rsidRDefault="00865574" w:rsidP="00AA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82E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1" w:type="dxa"/>
          </w:tcPr>
          <w:p w:rsidR="00682EAD" w:rsidRPr="00682EAD" w:rsidRDefault="00682EAD" w:rsidP="00AA2C08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682EAD">
              <w:rPr>
                <w:color w:val="000000" w:themeColor="text1"/>
                <w:sz w:val="23"/>
                <w:szCs w:val="23"/>
              </w:rPr>
              <w:t xml:space="preserve">Darba garantijas termiņš </w:t>
            </w:r>
          </w:p>
        </w:tc>
        <w:tc>
          <w:tcPr>
            <w:tcW w:w="4677" w:type="dxa"/>
          </w:tcPr>
          <w:p w:rsidR="00682EAD" w:rsidRPr="001B20DC" w:rsidRDefault="00682EAD" w:rsidP="00AA2C08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1B20DC">
              <w:rPr>
                <w:color w:val="000000" w:themeColor="text1"/>
                <w:sz w:val="23"/>
                <w:szCs w:val="23"/>
              </w:rPr>
              <w:t>Noturība pret ūdens noplūdi – 3 mēneši</w:t>
            </w:r>
          </w:p>
        </w:tc>
        <w:tc>
          <w:tcPr>
            <w:tcW w:w="1701" w:type="dxa"/>
          </w:tcPr>
          <w:p w:rsidR="00682EAD" w:rsidRDefault="00682EAD" w:rsidP="00AA2C08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682EAD" w:rsidTr="00B735C5">
        <w:tc>
          <w:tcPr>
            <w:tcW w:w="468" w:type="dxa"/>
            <w:vMerge w:val="restart"/>
          </w:tcPr>
          <w:p w:rsidR="00682EAD" w:rsidRDefault="00865574" w:rsidP="0068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B20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1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83"/>
              <w:gridCol w:w="222"/>
            </w:tblGrid>
            <w:tr w:rsidR="00682EAD" w:rsidTr="00AA2C08">
              <w:trPr>
                <w:trHeight w:val="661"/>
              </w:trPr>
              <w:tc>
                <w:tcPr>
                  <w:tcW w:w="0" w:type="auto"/>
                </w:tcPr>
                <w:p w:rsidR="00682EAD" w:rsidRDefault="00682EAD" w:rsidP="00682EA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Bojājumu novēršanas termiņš garantijas laikā </w:t>
                  </w:r>
                </w:p>
              </w:tc>
              <w:tc>
                <w:tcPr>
                  <w:tcW w:w="0" w:type="auto"/>
                </w:tcPr>
                <w:p w:rsidR="00682EAD" w:rsidRDefault="00682EAD" w:rsidP="00682EAD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682EAD" w:rsidRDefault="00682EAD" w:rsidP="0068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682EAD" w:rsidRDefault="00682EAD" w:rsidP="00682EA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Nepareizi uzstādītu skaitītājiem – vienas dienas laikā no paziņošanas brīža</w:t>
            </w:r>
          </w:p>
        </w:tc>
        <w:tc>
          <w:tcPr>
            <w:tcW w:w="1701" w:type="dxa"/>
          </w:tcPr>
          <w:p w:rsidR="00682EAD" w:rsidRDefault="00682EAD" w:rsidP="00682EAD">
            <w:pPr>
              <w:pStyle w:val="Default"/>
              <w:rPr>
                <w:sz w:val="23"/>
                <w:szCs w:val="23"/>
              </w:rPr>
            </w:pPr>
          </w:p>
        </w:tc>
      </w:tr>
      <w:tr w:rsidR="00682EAD" w:rsidTr="00B735C5">
        <w:tc>
          <w:tcPr>
            <w:tcW w:w="468" w:type="dxa"/>
            <w:vMerge/>
          </w:tcPr>
          <w:p w:rsidR="00682EAD" w:rsidRDefault="00682EAD" w:rsidP="0068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682EAD" w:rsidRDefault="00682EAD" w:rsidP="00682EA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677" w:type="dxa"/>
          </w:tcPr>
          <w:p w:rsidR="00682EAD" w:rsidRDefault="00682EAD" w:rsidP="00682EA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Attālināti nolasāmo skaitītāju reģistrēšanas kļūdu novēršana – nedēļas laikā</w:t>
            </w:r>
          </w:p>
        </w:tc>
        <w:tc>
          <w:tcPr>
            <w:tcW w:w="1701" w:type="dxa"/>
          </w:tcPr>
          <w:p w:rsidR="00682EAD" w:rsidRDefault="00682EAD" w:rsidP="00682EAD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B05B91" w:rsidRDefault="00A8293F"/>
    <w:sectPr w:rsidR="00B05B91" w:rsidSect="0070226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EF3"/>
    <w:rsid w:val="00016637"/>
    <w:rsid w:val="001A0C95"/>
    <w:rsid w:val="001B20DC"/>
    <w:rsid w:val="001C0DB1"/>
    <w:rsid w:val="001C3188"/>
    <w:rsid w:val="00200D8A"/>
    <w:rsid w:val="00342035"/>
    <w:rsid w:val="003F23B9"/>
    <w:rsid w:val="004161AC"/>
    <w:rsid w:val="00504F9E"/>
    <w:rsid w:val="00545C4D"/>
    <w:rsid w:val="005A3342"/>
    <w:rsid w:val="00682EAD"/>
    <w:rsid w:val="00702267"/>
    <w:rsid w:val="0071323A"/>
    <w:rsid w:val="007F47DC"/>
    <w:rsid w:val="00865574"/>
    <w:rsid w:val="00952D77"/>
    <w:rsid w:val="009F2298"/>
    <w:rsid w:val="00A21A3A"/>
    <w:rsid w:val="00A6170B"/>
    <w:rsid w:val="00A8293F"/>
    <w:rsid w:val="00B72EF3"/>
    <w:rsid w:val="00B735C5"/>
    <w:rsid w:val="00B756BC"/>
    <w:rsid w:val="00CF378F"/>
    <w:rsid w:val="00DF3A8E"/>
    <w:rsid w:val="00EB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0F762"/>
  <w15:chartTrackingRefBased/>
  <w15:docId w15:val="{ADEEFE00-B0FD-4289-B812-DBA0915D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2E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04F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36"/>
      <w:szCs w:val="24"/>
    </w:rPr>
  </w:style>
  <w:style w:type="paragraph" w:customStyle="1" w:styleId="Default">
    <w:name w:val="Default"/>
    <w:rsid w:val="00B72E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72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5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5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1171</Words>
  <Characters>668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Ilgonis</dc:creator>
  <cp:keywords/>
  <dc:description/>
  <cp:lastModifiedBy>Ilgonis</cp:lastModifiedBy>
  <cp:revision>6</cp:revision>
  <dcterms:created xsi:type="dcterms:W3CDTF">2024-12-05T13:09:00Z</dcterms:created>
  <dcterms:modified xsi:type="dcterms:W3CDTF">2024-12-05T13:32:00Z</dcterms:modified>
</cp:coreProperties>
</file>