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842373">
        <w:t>cenu aptaujai</w:t>
      </w:r>
    </w:p>
    <w:p w:rsidR="00842373" w:rsidRPr="00D43922" w:rsidRDefault="00842373" w:rsidP="00842373">
      <w:pPr>
        <w:suppressAutoHyphens/>
        <w:ind w:left="-284"/>
        <w:jc w:val="center"/>
        <w:rPr>
          <w:b/>
          <w:color w:val="000000"/>
          <w:lang w:eastAsia="ar-SA"/>
        </w:rPr>
      </w:pPr>
      <w:bookmarkStart w:id="0" w:name="_Hlk206759175"/>
      <w:bookmarkStart w:id="1" w:name="_Hlk206757146"/>
      <w:bookmarkStart w:id="2" w:name="_Hlk183179571"/>
      <w:r w:rsidRPr="00D43922">
        <w:rPr>
          <w:b/>
          <w:color w:val="000000"/>
          <w:lang w:eastAsia="ar-SA"/>
        </w:rPr>
        <w:t xml:space="preserve">Ārējo ūdensapgādes un kanalizācijas tīklu paplašināšana </w:t>
      </w:r>
      <w:proofErr w:type="spellStart"/>
      <w:r w:rsidRPr="00D43922">
        <w:rPr>
          <w:b/>
          <w:color w:val="000000"/>
          <w:lang w:eastAsia="ar-SA"/>
        </w:rPr>
        <w:t>Odukalnā</w:t>
      </w:r>
      <w:bookmarkEnd w:id="0"/>
      <w:proofErr w:type="spellEnd"/>
    </w:p>
    <w:bookmarkEnd w:id="1"/>
    <w:p w:rsidR="00842373" w:rsidRPr="00A350CF" w:rsidRDefault="00842373" w:rsidP="00842373">
      <w:pPr>
        <w:suppressAutoHyphens/>
        <w:ind w:left="-284"/>
        <w:jc w:val="center"/>
        <w:rPr>
          <w:color w:val="000000"/>
          <w:lang w:eastAsia="ar-SA"/>
        </w:rPr>
      </w:pP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3" w:name="_Ref274582254"/>
      <w:bookmarkEnd w:id="2"/>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7"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apstiprināta Iepirkuma komisija (turpmāk – Iepirkuma komisija).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color w:val="000000" w:themeColor="text1"/>
        </w:rPr>
        <w:t xml:space="preserve">Iepirkuma nolikums </w:t>
      </w:r>
      <w:r w:rsidRPr="000716D0">
        <w:rPr>
          <w:rFonts w:eastAsia="Calibri"/>
        </w:rPr>
        <w:t xml:space="preserve">apstiprināts iepirkumu komisijas </w:t>
      </w:r>
      <w:proofErr w:type="spellStart"/>
      <w:r w:rsidRPr="00522A10">
        <w:rPr>
          <w:rFonts w:eastAsia="Calibri"/>
        </w:rPr>
        <w:t>202</w:t>
      </w:r>
      <w:r w:rsidR="00A55398">
        <w:rPr>
          <w:rFonts w:eastAsia="Calibri"/>
        </w:rPr>
        <w:t>5</w:t>
      </w:r>
      <w:r w:rsidRPr="00522A10">
        <w:rPr>
          <w:rFonts w:eastAsia="Calibri"/>
        </w:rPr>
        <w:t>.gada</w:t>
      </w:r>
      <w:proofErr w:type="spellEnd"/>
      <w:r w:rsidRPr="00522A10">
        <w:rPr>
          <w:rFonts w:eastAsia="Calibri"/>
        </w:rPr>
        <w:t xml:space="preserve"> </w:t>
      </w:r>
      <w:proofErr w:type="spellStart"/>
      <w:r w:rsidR="009B7150" w:rsidRPr="009B7150">
        <w:rPr>
          <w:rFonts w:eastAsia="Calibri"/>
        </w:rPr>
        <w:t>22.augusta</w:t>
      </w:r>
      <w:proofErr w:type="spellEnd"/>
      <w:r w:rsidR="009B7150" w:rsidRPr="009B7150">
        <w:rPr>
          <w:rFonts w:eastAsia="Calibri"/>
        </w:rPr>
        <w:t xml:space="preserve"> sēdē</w:t>
      </w:r>
      <w:r w:rsidR="004E546B">
        <w:rPr>
          <w:rFonts w:eastAsia="Calibri"/>
        </w:rPr>
        <w:t>.</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vadītāja asistents Ilgonis Leišavnieks, </w:t>
      </w:r>
      <w:r w:rsidRPr="000716D0">
        <w:rPr>
          <w:bCs/>
          <w:color w:val="000000" w:themeColor="text1"/>
        </w:rPr>
        <w:t xml:space="preserve">tālr.: </w:t>
      </w:r>
      <w:r w:rsidRPr="000716D0">
        <w:rPr>
          <w:color w:val="000000" w:themeColor="text1"/>
        </w:rPr>
        <w:t>292</w:t>
      </w:r>
      <w:r w:rsidR="00E32CFE">
        <w:rPr>
          <w:color w:val="000000" w:themeColor="text1"/>
        </w:rPr>
        <w:t>8</w:t>
      </w:r>
      <w:bookmarkStart w:id="4" w:name="_GoBack"/>
      <w:bookmarkEnd w:id="4"/>
      <w:r w:rsidRPr="000716D0">
        <w:rPr>
          <w:color w:val="000000" w:themeColor="text1"/>
        </w:rPr>
        <w:t xml:space="preserve">6907, </w:t>
      </w:r>
      <w:r w:rsidRPr="000716D0">
        <w:rPr>
          <w:bCs/>
          <w:color w:val="000000" w:themeColor="text1"/>
        </w:rPr>
        <w:t xml:space="preserve">e-pasts: </w:t>
      </w:r>
      <w:hyperlink r:id="rId8" w:history="1">
        <w:proofErr w:type="spellStart"/>
        <w:r w:rsidRPr="000716D0">
          <w:rPr>
            <w:rStyle w:val="Hyperlink"/>
            <w:bCs/>
          </w:rPr>
          <w:t>ilgonis@kekavasnami.lv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A26DF1" w:rsidRDefault="00A26DF1" w:rsidP="00A26DF1">
      <w:pPr>
        <w:pStyle w:val="ListParagraph"/>
        <w:numPr>
          <w:ilvl w:val="2"/>
          <w:numId w:val="9"/>
        </w:numPr>
        <w:tabs>
          <w:tab w:val="num" w:pos="854"/>
        </w:tabs>
        <w:spacing w:before="120"/>
        <w:contextualSpacing w:val="0"/>
        <w:jc w:val="both"/>
        <w:rPr>
          <w:rFonts w:eastAsia="Calibri"/>
          <w:b/>
          <w:color w:val="000000" w:themeColor="text1"/>
          <w:u w:val="single"/>
        </w:rPr>
      </w:pPr>
      <w:r w:rsidRPr="00BF5129">
        <w:rPr>
          <w:bCs/>
          <w:color w:val="000000" w:themeColor="text1"/>
        </w:rPr>
        <w:t xml:space="preserve">iepirkuma priekšmetu ir </w:t>
      </w:r>
      <w:r w:rsidR="00DB14CB">
        <w:rPr>
          <w:bCs/>
          <w:color w:val="000000" w:themeColor="text1"/>
        </w:rPr>
        <w:t>galvenais inženieris</w:t>
      </w:r>
      <w:r w:rsidRPr="00BF5129">
        <w:rPr>
          <w:bCs/>
          <w:color w:val="000000" w:themeColor="text1"/>
        </w:rPr>
        <w:t xml:space="preserve"> </w:t>
      </w:r>
      <w:bookmarkStart w:id="5" w:name="_Hlk182923185"/>
      <w:r w:rsidRPr="00BF5129">
        <w:rPr>
          <w:bCs/>
          <w:color w:val="000000" w:themeColor="text1"/>
        </w:rPr>
        <w:t xml:space="preserve">Jānis </w:t>
      </w:r>
      <w:r w:rsidR="00DB14CB">
        <w:rPr>
          <w:bCs/>
          <w:color w:val="000000" w:themeColor="text1"/>
        </w:rPr>
        <w:t>Freibergs</w:t>
      </w:r>
      <w:r w:rsidRPr="00BF5129">
        <w:rPr>
          <w:bCs/>
          <w:color w:val="000000" w:themeColor="text1"/>
        </w:rPr>
        <w:t xml:space="preserve"> tālr.</w:t>
      </w:r>
      <w:r w:rsidRPr="00BF5129">
        <w:rPr>
          <w:color w:val="000000" w:themeColor="text1"/>
        </w:rPr>
        <w:t xml:space="preserve"> </w:t>
      </w:r>
      <w:r>
        <w:rPr>
          <w:color w:val="000000" w:themeColor="text1"/>
        </w:rPr>
        <w:t>2</w:t>
      </w:r>
      <w:r w:rsidR="00DB14CB">
        <w:rPr>
          <w:color w:val="000000" w:themeColor="text1"/>
        </w:rPr>
        <w:t>9255787</w:t>
      </w:r>
      <w:r w:rsidRPr="00BF5129">
        <w:rPr>
          <w:color w:val="000000" w:themeColor="text1"/>
        </w:rPr>
        <w:t xml:space="preserve"> e-pasts – </w:t>
      </w:r>
      <w:hyperlink r:id="rId9" w:history="1">
        <w:proofErr w:type="spellStart"/>
        <w:r w:rsidR="00DB14CB" w:rsidRPr="001F0157">
          <w:rPr>
            <w:rStyle w:val="Hyperlink"/>
          </w:rPr>
          <w:t>janis@kekavasnami.lv</w:t>
        </w:r>
        <w:proofErr w:type="spellEnd"/>
      </w:hyperlink>
      <w:bookmarkEnd w:id="5"/>
      <w:r w:rsidRPr="00BF5129">
        <w:rPr>
          <w:color w:val="000000" w:themeColor="text1"/>
          <w:u w:val="single"/>
        </w:rPr>
        <w:t>.</w:t>
      </w:r>
    </w:p>
    <w:bookmarkEnd w:id="3"/>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A26DF1" w:rsidP="00EC2D43">
      <w:pPr>
        <w:pStyle w:val="ListParagraph"/>
        <w:widowControl w:val="0"/>
        <w:numPr>
          <w:ilvl w:val="1"/>
          <w:numId w:val="9"/>
        </w:numPr>
        <w:ind w:left="567" w:hanging="567"/>
        <w:jc w:val="both"/>
      </w:pPr>
      <w:r w:rsidRPr="00A35288">
        <w:t xml:space="preserve">Iepirkuma priekšmets </w:t>
      </w:r>
      <w:bookmarkStart w:id="6" w:name="_Hlk142385914"/>
      <w:bookmarkStart w:id="7" w:name="_Hlk142400144"/>
      <w:r w:rsidR="00DB14CB">
        <w:t>ūdensvada un kanalizācijas ārējo tīklu pagarināšana</w:t>
      </w:r>
      <w:r w:rsidRPr="00A35288">
        <w:t xml:space="preserve"> </w:t>
      </w:r>
      <w:r w:rsidR="00DB14CB">
        <w:t xml:space="preserve"> Meldru, Mētru un Lauka ielās </w:t>
      </w:r>
      <w:proofErr w:type="spellStart"/>
      <w:r w:rsidR="00DB14CB">
        <w:t>Odukalns</w:t>
      </w:r>
      <w:proofErr w:type="spellEnd"/>
      <w:r w:rsidR="00DB14CB">
        <w:t xml:space="preserve">, </w:t>
      </w:r>
      <w:r w:rsidRPr="00A35288">
        <w:t>Ķekavas pagasts, Ķekavas novads (turpmāk – Objekts)</w:t>
      </w:r>
      <w:bookmarkEnd w:id="6"/>
      <w:r w:rsidRPr="00A35288">
        <w:t>.</w:t>
      </w:r>
      <w:bookmarkEnd w:id="7"/>
      <w:r w:rsidR="00266954">
        <w:rPr>
          <w:color w:val="000000"/>
        </w:rPr>
        <w:t xml:space="preserve"> </w:t>
      </w:r>
    </w:p>
    <w:p w:rsidR="00DA0289" w:rsidRPr="000716D0" w:rsidRDefault="00A26DF1" w:rsidP="00EC2D43">
      <w:pPr>
        <w:pStyle w:val="ListParagraph"/>
        <w:widowControl w:val="0"/>
        <w:numPr>
          <w:ilvl w:val="1"/>
          <w:numId w:val="9"/>
        </w:numPr>
        <w:ind w:left="567" w:hanging="567"/>
        <w:jc w:val="both"/>
      </w:pPr>
      <w:r w:rsidRPr="00F34A29">
        <w:rPr>
          <w:bCs/>
          <w:lang w:eastAsia="ar-SA"/>
        </w:rPr>
        <w:t xml:space="preserve">Iepirkuma </w:t>
      </w:r>
      <w:proofErr w:type="spellStart"/>
      <w:r w:rsidRPr="00F34A29">
        <w:t>CPV</w:t>
      </w:r>
      <w:proofErr w:type="spellEnd"/>
      <w:r w:rsidRPr="00F34A29">
        <w:t xml:space="preserve"> kods:</w:t>
      </w:r>
      <w:r>
        <w:t xml:space="preserve"> </w:t>
      </w:r>
      <w:r w:rsidR="00823086" w:rsidRPr="00823086">
        <w:t>45231300-8 “Ūdens un notekūdeņu cauruļvadu būvdarbi”</w:t>
      </w:r>
      <w:r>
        <w:t xml:space="preserve">. </w:t>
      </w:r>
      <w:r w:rsidR="00DA0289" w:rsidRPr="000716D0">
        <w:t xml:space="preserve"> </w:t>
      </w:r>
    </w:p>
    <w:p w:rsidR="00DA0289" w:rsidRPr="000716D0" w:rsidRDefault="00DA0289" w:rsidP="00EC2D43">
      <w:pPr>
        <w:pStyle w:val="ListParagraph"/>
        <w:widowControl w:val="0"/>
        <w:numPr>
          <w:ilvl w:val="1"/>
          <w:numId w:val="9"/>
        </w:numPr>
        <w:ind w:left="567" w:hanging="567"/>
        <w:jc w:val="both"/>
      </w:pPr>
      <w:r w:rsidRPr="000716D0">
        <w:t>Paredzamā līgumcena:</w:t>
      </w:r>
      <w:r w:rsidRPr="000716D0">
        <w:rPr>
          <w:b/>
        </w:rPr>
        <w:t xml:space="preserve"> </w:t>
      </w:r>
      <w:r w:rsidR="00641061">
        <w:t>1</w:t>
      </w:r>
      <w:r w:rsidR="00A43F18">
        <w:t>6</w:t>
      </w:r>
      <w:r w:rsidRPr="00720F2B">
        <w:t>0</w:t>
      </w:r>
      <w:r w:rsidR="00641061">
        <w:t xml:space="preserve"> 0</w:t>
      </w:r>
      <w:r w:rsidRPr="00720F2B">
        <w:t>00,00</w:t>
      </w:r>
      <w:r w:rsidR="00720F2B">
        <w:t xml:space="preserve"> </w:t>
      </w:r>
      <w:r w:rsidR="00834027">
        <w:t>(</w:t>
      </w:r>
      <w:r w:rsidR="00641061">
        <w:t xml:space="preserve">simtu </w:t>
      </w:r>
      <w:r w:rsidR="00A43F18">
        <w:t>sešdesmit</w:t>
      </w:r>
      <w:r w:rsidR="00720F2B">
        <w:t xml:space="preserve"> tūkstoši eiro un 00 centi)</w:t>
      </w:r>
      <w:r w:rsidR="00720F2B" w:rsidRPr="00720F2B">
        <w:t xml:space="preserve"> </w:t>
      </w:r>
      <w:r w:rsidRPr="00720F2B">
        <w:t xml:space="preserve"> </w:t>
      </w:r>
      <w:r w:rsidRPr="000716D0">
        <w:t xml:space="preserve">bez PVN. </w:t>
      </w:r>
    </w:p>
    <w:p w:rsidR="00DA0289" w:rsidRPr="000716D0" w:rsidRDefault="00DA0289" w:rsidP="00DA0289">
      <w:pPr>
        <w:pStyle w:val="ListParagraph"/>
        <w:widowControl w:val="0"/>
        <w:numPr>
          <w:ilvl w:val="1"/>
          <w:numId w:val="4"/>
        </w:numPr>
        <w:ind w:left="567" w:hanging="567"/>
        <w:jc w:val="both"/>
        <w:rPr>
          <w:b/>
        </w:rPr>
      </w:pPr>
      <w:r w:rsidRPr="000716D0">
        <w:t>Iepirkuma priekšmets</w:t>
      </w:r>
      <w:r w:rsidRPr="000716D0">
        <w:rPr>
          <w:b/>
          <w:i/>
        </w:rPr>
        <w:t xml:space="preserve"> </w:t>
      </w:r>
      <w:r w:rsidRPr="0071170A">
        <w:rPr>
          <w:iCs/>
        </w:rPr>
        <w:t>nav</w:t>
      </w:r>
      <w:r w:rsidRPr="000716D0">
        <w:t xml:space="preserve"> sadalīts daļās.</w:t>
      </w:r>
      <w:r w:rsidR="00E3004D" w:rsidRPr="000716D0">
        <w:t xml:space="preserve"> Pretendents nav tiesīgs iesniegt piedāvājuma variantus.</w:t>
      </w:r>
      <w:r w:rsidR="00DD0BB2">
        <w:t xml:space="preserve"> </w:t>
      </w:r>
    </w:p>
    <w:p w:rsidR="00E3004D" w:rsidRPr="00DD0BB2" w:rsidRDefault="00DD0BB2" w:rsidP="00DD0BB2">
      <w:pPr>
        <w:pStyle w:val="ListParagraph"/>
        <w:numPr>
          <w:ilvl w:val="1"/>
          <w:numId w:val="4"/>
        </w:numPr>
        <w:spacing w:before="120" w:after="120"/>
        <w:ind w:left="567" w:hanging="567"/>
        <w:jc w:val="both"/>
        <w:rPr>
          <w:rStyle w:val="FontStyle15"/>
          <w:b/>
          <w:sz w:val="24"/>
          <w:szCs w:val="24"/>
          <w:lang w:eastAsia="en-US"/>
        </w:rPr>
      </w:pPr>
      <w:r w:rsidRPr="001F150A">
        <w:rPr>
          <w:lang w:eastAsia="ar-SA"/>
        </w:rPr>
        <w:t xml:space="preserve">Līguma darbības termiņš: līdz saistību izpildei, bet </w:t>
      </w:r>
      <w:r w:rsidRPr="00A35288">
        <w:rPr>
          <w:lang w:eastAsia="ar-SA"/>
        </w:rPr>
        <w:t xml:space="preserve">ne ilgāk kā </w:t>
      </w:r>
      <w:r w:rsidR="00A43F18" w:rsidRPr="00A43F18">
        <w:rPr>
          <w:lang w:eastAsia="ar-SA"/>
        </w:rPr>
        <w:t>4</w:t>
      </w:r>
      <w:r w:rsidRPr="00A43F18">
        <w:rPr>
          <w:lang w:eastAsia="ar-SA"/>
        </w:rPr>
        <w:t xml:space="preserve"> (</w:t>
      </w:r>
      <w:r w:rsidR="00A43F18" w:rsidRPr="00A43F18">
        <w:rPr>
          <w:lang w:eastAsia="ar-SA"/>
        </w:rPr>
        <w:t>četri</w:t>
      </w:r>
      <w:r w:rsidRPr="00A43F18">
        <w:rPr>
          <w:lang w:eastAsia="ar-SA"/>
        </w:rPr>
        <w:t>) kalendārie</w:t>
      </w:r>
      <w:r w:rsidRPr="001F150A">
        <w:rPr>
          <w:lang w:eastAsia="ar-SA"/>
        </w:rPr>
        <w:t xml:space="preserve"> mēneši    </w:t>
      </w:r>
      <w:r>
        <w:rPr>
          <w:lang w:eastAsia="ar-SA"/>
        </w:rPr>
        <w:t>pēc līguma noslēgšanas</w:t>
      </w:r>
      <w:r w:rsidRPr="001F150A">
        <w:rPr>
          <w:lang w:eastAsia="ar-SA"/>
        </w:rPr>
        <w:t>.</w:t>
      </w:r>
    </w:p>
    <w:p w:rsidR="00E3004D" w:rsidRPr="00DD0BB2" w:rsidRDefault="00E3004D" w:rsidP="00147494">
      <w:pPr>
        <w:pStyle w:val="ListParagraph"/>
        <w:widowControl w:val="0"/>
        <w:numPr>
          <w:ilvl w:val="1"/>
          <w:numId w:val="4"/>
        </w:numPr>
        <w:tabs>
          <w:tab w:val="left" w:pos="567"/>
        </w:tabs>
        <w:ind w:left="426" w:hanging="426"/>
        <w:jc w:val="both"/>
      </w:pPr>
      <w:r w:rsidRPr="00DD0BB2">
        <w:rPr>
          <w:rStyle w:val="FontStyle15"/>
          <w:b/>
          <w:sz w:val="24"/>
          <w:szCs w:val="24"/>
        </w:rPr>
        <w:t xml:space="preserve"> </w:t>
      </w:r>
      <w:r w:rsidR="00147494" w:rsidRPr="00DD0BB2">
        <w:rPr>
          <w:rStyle w:val="FontStyle15"/>
          <w:b/>
          <w:sz w:val="24"/>
          <w:szCs w:val="24"/>
        </w:rPr>
        <w:tab/>
      </w:r>
      <w:r w:rsidRPr="000716D0">
        <w:t xml:space="preserve">Pasūtītāja prasībām atbilstošo piedāvājumu izvēles kritērijs: </w:t>
      </w:r>
      <w:r w:rsidRPr="00DD0BB2">
        <w:rPr>
          <w:bCs/>
          <w:snapToGrid w:val="0"/>
        </w:rPr>
        <w:t xml:space="preserve">saimnieciski izdevīgākais </w:t>
      </w:r>
      <w:r w:rsidR="00147494" w:rsidRPr="00DD0BB2">
        <w:rPr>
          <w:bCs/>
          <w:snapToGrid w:val="0"/>
        </w:rPr>
        <w:tab/>
      </w:r>
      <w:r w:rsidRPr="00DD0BB2">
        <w:rPr>
          <w:bCs/>
          <w:snapToGrid w:val="0"/>
        </w:rPr>
        <w:t xml:space="preserve">piedāvājums, kuru nosaka ņemot vērā tikai cenu, t.i. </w:t>
      </w:r>
      <w:r w:rsidR="00B42708" w:rsidRPr="00DD0BB2">
        <w:rPr>
          <w:bCs/>
          <w:snapToGrid w:val="0"/>
        </w:rPr>
        <w:t>–</w:t>
      </w:r>
      <w:r w:rsidRPr="00DD0BB2">
        <w:rPr>
          <w:bCs/>
          <w:snapToGrid w:val="0"/>
        </w:rPr>
        <w:t xml:space="preserve"> </w:t>
      </w:r>
      <w:r w:rsidRPr="00DD0BB2">
        <w:rPr>
          <w:b/>
          <w:bCs/>
          <w:snapToGrid w:val="0"/>
        </w:rPr>
        <w:t>zemākā cena</w:t>
      </w:r>
      <w:r w:rsidRPr="00DD0BB2">
        <w:rPr>
          <w:bCs/>
          <w:snapToGrid w:val="0"/>
        </w:rPr>
        <w:t xml:space="preserve">. </w:t>
      </w:r>
    </w:p>
    <w:p w:rsidR="00DD0BB2" w:rsidRPr="000716D0" w:rsidRDefault="00DD0BB2" w:rsidP="00DD0BB2">
      <w:pPr>
        <w:pStyle w:val="ListParagraph"/>
        <w:widowControl w:val="0"/>
        <w:numPr>
          <w:ilvl w:val="1"/>
          <w:numId w:val="4"/>
        </w:numPr>
        <w:tabs>
          <w:tab w:val="left" w:pos="567"/>
        </w:tabs>
        <w:ind w:left="567" w:hanging="567"/>
        <w:jc w:val="both"/>
      </w:pPr>
      <w:r w:rsidRPr="001F150A">
        <w:t xml:space="preserve">Iepirkuma priekšmeta apjoms un </w:t>
      </w:r>
      <w:r w:rsidRPr="001F150A">
        <w:rPr>
          <w:lang w:eastAsia="ar-SA"/>
        </w:rPr>
        <w:t xml:space="preserve">svarīgākie nosacījumi </w:t>
      </w:r>
      <w:r w:rsidRPr="001F150A">
        <w:t>ietverti pievienotajā</w:t>
      </w:r>
      <w:r>
        <w:t xml:space="preserve"> pieteikumā (</w:t>
      </w:r>
      <w:proofErr w:type="spellStart"/>
      <w:r>
        <w:t>1.pielikumus</w:t>
      </w:r>
      <w:proofErr w:type="spellEnd"/>
      <w:r>
        <w:t>)</w:t>
      </w:r>
      <w:r w:rsidR="0071170A">
        <w:t xml:space="preserve"> un </w:t>
      </w:r>
      <w:r w:rsidRPr="001F150A">
        <w:rPr>
          <w:lang w:eastAsia="ar-SA"/>
        </w:rPr>
        <w:t>lokālajā tāmē (</w:t>
      </w:r>
      <w:proofErr w:type="spellStart"/>
      <w:r>
        <w:rPr>
          <w:lang w:eastAsia="ar-SA"/>
        </w:rPr>
        <w:t>2</w:t>
      </w:r>
      <w:r w:rsidRPr="001F150A">
        <w:rPr>
          <w:lang w:eastAsia="ar-SA"/>
        </w:rPr>
        <w:t>.pielikums</w:t>
      </w:r>
      <w:proofErr w:type="spellEnd"/>
      <w:r w:rsidRPr="001F150A">
        <w:rPr>
          <w:lang w:eastAsia="ar-SA"/>
        </w:rPr>
        <w:t>)</w:t>
      </w:r>
      <w:r w:rsidR="0071170A">
        <w:rPr>
          <w:lang w:eastAsia="ar-SA"/>
        </w:rPr>
        <w:t>.</w:t>
      </w:r>
      <w:r w:rsidR="00720F2B">
        <w:rPr>
          <w:lang w:eastAsia="ar-SA"/>
        </w:rPr>
        <w:t xml:space="preserve"> </w:t>
      </w:r>
    </w:p>
    <w:p w:rsidR="00E3004D" w:rsidRPr="000716D0" w:rsidRDefault="00E3004D" w:rsidP="00DA0289">
      <w:pPr>
        <w:pStyle w:val="ListParagraph"/>
        <w:widowControl w:val="0"/>
        <w:numPr>
          <w:ilvl w:val="1"/>
          <w:numId w:val="4"/>
        </w:numPr>
        <w:ind w:left="567" w:hanging="567"/>
        <w:contextualSpacing w:val="0"/>
        <w:jc w:val="both"/>
        <w:rPr>
          <w:b/>
          <w:iCs/>
        </w:rPr>
      </w:pPr>
      <w:r w:rsidRPr="000716D0">
        <w:t>Pretendentam, ar kuru slēgs līgumu,</w:t>
      </w:r>
      <w:r w:rsidR="005A70DA" w:rsidRPr="000716D0">
        <w:t xml:space="preserve"> var tik pieprasīts</w:t>
      </w:r>
      <w:r w:rsidRPr="000716D0">
        <w:t xml:space="preserve"> līguma izpildes nodrošinājums</w:t>
      </w:r>
      <w:r w:rsidR="00641061">
        <w:t xml:space="preserve"> 10 % apmērā no līgumcenas, kā arī jāapdrošina ņemtais avanss pilnā avansa apmērā.</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DA0289" w:rsidRPr="000716D0" w:rsidRDefault="00680CAA" w:rsidP="000716D0">
      <w:pPr>
        <w:pStyle w:val="ListParagraph"/>
        <w:widowControl w:val="0"/>
        <w:numPr>
          <w:ilvl w:val="1"/>
          <w:numId w:val="5"/>
        </w:numPr>
        <w:ind w:left="0" w:firstLine="0"/>
        <w:jc w:val="both"/>
        <w:rPr>
          <w:bCs/>
          <w:snapToGrid w:val="0"/>
          <w:color w:val="008FFA"/>
        </w:rPr>
      </w:pPr>
      <w:bookmarkStart w:id="8" w:name="_Ref38365343"/>
      <w:r w:rsidRPr="000716D0">
        <w:t xml:space="preserve">Konkursa </w:t>
      </w:r>
      <w:r w:rsidRPr="000716D0">
        <w:rPr>
          <w:bCs/>
        </w:rPr>
        <w:t xml:space="preserve">dokumentācijai ir nodrošināta </w:t>
      </w:r>
      <w:r w:rsidRPr="000716D0">
        <w:t>tieša un brīva elektroniskā pieeja</w:t>
      </w:r>
      <w:r w:rsidR="0008110E" w:rsidRPr="000716D0">
        <w:rPr>
          <w:bCs/>
          <w:iCs/>
          <w:kern w:val="28"/>
        </w:rPr>
        <w:t xml:space="preserve"> </w:t>
      </w:r>
      <w:bookmarkEnd w:id="8"/>
      <w:r w:rsidR="00B42708" w:rsidRPr="000716D0">
        <w:t>Pasūtītāja</w:t>
      </w:r>
      <w:r w:rsidRPr="000716D0">
        <w:t xml:space="preserve"> </w:t>
      </w:r>
      <w:r w:rsidR="00B42708" w:rsidRPr="000716D0">
        <w:rPr>
          <w:bCs/>
          <w:snapToGrid w:val="0"/>
        </w:rPr>
        <w:t xml:space="preserve">mājas lapā </w:t>
      </w:r>
      <w:hyperlink r:id="rId10" w:history="1">
        <w:proofErr w:type="spellStart"/>
        <w:r w:rsidR="00B42708" w:rsidRPr="000716D0">
          <w:rPr>
            <w:rStyle w:val="Hyperlink"/>
            <w:bCs/>
            <w:snapToGrid w:val="0"/>
          </w:rPr>
          <w:t>www.kekavasnami.lv</w:t>
        </w:r>
        <w:proofErr w:type="spellEnd"/>
      </w:hyperlink>
      <w:r w:rsidR="00B42708" w:rsidRPr="000716D0">
        <w:rPr>
          <w:bCs/>
          <w:snapToGrid w:val="0"/>
        </w:rPr>
        <w:t xml:space="preserve"> – sadaļā “</w:t>
      </w:r>
      <w:r w:rsidR="00B42708" w:rsidRPr="000716D0">
        <w:t xml:space="preserve">Iepirkumi”, </w:t>
      </w:r>
      <w:r w:rsidR="00B42708" w:rsidRPr="000716D0">
        <w:rPr>
          <w:bCs/>
          <w:snapToGrid w:val="0"/>
        </w:rPr>
        <w:t xml:space="preserve"> </w:t>
      </w:r>
      <w:r w:rsidRPr="000716D0">
        <w:t xml:space="preserve">kur </w:t>
      </w:r>
      <w:r w:rsidR="0008110E" w:rsidRPr="000716D0">
        <w:t>p</w:t>
      </w:r>
      <w:r w:rsidRPr="000716D0">
        <w:t xml:space="preserve">iegādātājs </w:t>
      </w:r>
      <w:r w:rsidR="00B42708" w:rsidRPr="000716D0">
        <w:t>k</w:t>
      </w:r>
      <w:r w:rsidRPr="000716D0">
        <w:t>onkursa nolikumu un ar to saistīto dokumentāciju var lejupielādējot elektroniskajā formātā</w:t>
      </w:r>
      <w:r w:rsidR="00B42708" w:rsidRPr="000716D0">
        <w:t>.</w:t>
      </w:r>
      <w:r w:rsidR="00DA0289" w:rsidRPr="000716D0">
        <w:t xml:space="preserve"> </w:t>
      </w:r>
    </w:p>
    <w:p w:rsidR="00DA0289" w:rsidRPr="000716D0" w:rsidRDefault="00DA0289" w:rsidP="000716D0">
      <w:pPr>
        <w:widowControl w:val="0"/>
        <w:numPr>
          <w:ilvl w:val="1"/>
          <w:numId w:val="5"/>
        </w:numPr>
        <w:ind w:left="0" w:firstLine="0"/>
        <w:contextualSpacing/>
        <w:jc w:val="both"/>
        <w:rPr>
          <w:bCs/>
          <w:snapToGrid w:val="0"/>
          <w:color w:val="008FFA"/>
        </w:rPr>
      </w:pPr>
      <w:r w:rsidRPr="000716D0">
        <w:t xml:space="preserve">Ieinteresēto piegādātāju </w:t>
      </w:r>
      <w:r w:rsidR="00B42708" w:rsidRPr="000716D0">
        <w:t xml:space="preserve">un pretendentu </w:t>
      </w:r>
      <w:r w:rsidRPr="000716D0">
        <w:t xml:space="preserve">pienākums ir pastāvīgi sekot līdzi aktuālajai informācijai minētajās mājas lapās par konkrēto iepirkumu. </w:t>
      </w:r>
      <w:r w:rsidR="00B42708" w:rsidRPr="000716D0">
        <w:t>Iepirkumu k</w:t>
      </w:r>
      <w:r w:rsidRPr="000716D0">
        <w:t>omisija nav atbildīga par to, ja kāda ieinteresētā persona nav iepazinusies ar informāciju, kurai ir nodrošināta brīva un tieša elektroniskā pieeja.</w:t>
      </w:r>
    </w:p>
    <w:p w:rsidR="00B42708" w:rsidRDefault="00DA0289" w:rsidP="00641061">
      <w:pPr>
        <w:widowControl w:val="0"/>
        <w:numPr>
          <w:ilvl w:val="1"/>
          <w:numId w:val="5"/>
        </w:numPr>
        <w:ind w:left="567" w:hanging="567"/>
        <w:contextualSpacing/>
        <w:jc w:val="both"/>
        <w:rPr>
          <w:rStyle w:val="Hyperlink"/>
          <w:rFonts w:eastAsiaTheme="majorEastAsia"/>
          <w:bCs/>
          <w:snapToGrid w:val="0"/>
          <w:color w:val="auto"/>
          <w:u w:val="none"/>
        </w:rPr>
      </w:pPr>
      <w:r w:rsidRPr="00641061">
        <w:rPr>
          <w:rStyle w:val="Hyperlink"/>
          <w:rFonts w:eastAsiaTheme="majorEastAsia"/>
          <w:bCs/>
          <w:snapToGrid w:val="0"/>
          <w:color w:val="auto"/>
          <w:u w:val="none"/>
        </w:rPr>
        <w:t>Ieinteresētajam piegādātājam ir tiesības veikt objekta apskati.</w:t>
      </w:r>
    </w:p>
    <w:p w:rsidR="00641061" w:rsidRPr="00641061" w:rsidRDefault="00641061" w:rsidP="00641061">
      <w:pPr>
        <w:widowControl w:val="0"/>
        <w:ind w:left="567"/>
        <w:contextualSpacing/>
        <w:jc w:val="both"/>
        <w:rPr>
          <w:rStyle w:val="Hyperlink"/>
          <w:rFonts w:eastAsiaTheme="majorEastAsia"/>
          <w:bCs/>
          <w:snapToGrid w:val="0"/>
          <w:color w:val="auto"/>
          <w:u w:val="none"/>
        </w:rPr>
      </w:pPr>
    </w:p>
    <w:p w:rsidR="000716D0" w:rsidRPr="000716D0" w:rsidRDefault="000716D0" w:rsidP="000716D0">
      <w:pPr>
        <w:widowControl w:val="0"/>
        <w:tabs>
          <w:tab w:val="left" w:pos="1276"/>
        </w:tabs>
        <w:overflowPunct w:val="0"/>
        <w:autoSpaceDE w:val="0"/>
        <w:autoSpaceDN w:val="0"/>
        <w:adjustRightInd w:val="0"/>
        <w:jc w:val="both"/>
      </w:pPr>
    </w:p>
    <w:p w:rsidR="000716D0" w:rsidRPr="000716D0" w:rsidRDefault="000716D0" w:rsidP="000716D0">
      <w:pPr>
        <w:pStyle w:val="ListParagraph"/>
        <w:keepNext/>
        <w:ind w:left="1353"/>
        <w:jc w:val="both"/>
        <w:outlineLvl w:val="1"/>
        <w:rPr>
          <w:b/>
          <w:bCs/>
          <w:iCs/>
          <w:kern w:val="28"/>
        </w:rPr>
      </w:pPr>
    </w:p>
    <w:p w:rsidR="00DA0289" w:rsidRPr="000716D0" w:rsidRDefault="00DA0289" w:rsidP="00B42708">
      <w:pPr>
        <w:pStyle w:val="ListParagraph"/>
        <w:keepNext/>
        <w:numPr>
          <w:ilvl w:val="0"/>
          <w:numId w:val="5"/>
        </w:numPr>
        <w:tabs>
          <w:tab w:val="num" w:pos="576"/>
        </w:tabs>
        <w:jc w:val="both"/>
        <w:outlineLvl w:val="1"/>
        <w:rPr>
          <w:b/>
          <w:bCs/>
          <w:iCs/>
          <w:kern w:val="28"/>
        </w:rPr>
      </w:pPr>
      <w:r w:rsidRPr="000716D0">
        <w:rPr>
          <w:b/>
          <w:bCs/>
          <w:iCs/>
          <w:kern w:val="28"/>
        </w:rPr>
        <w:t>Piedāvājuma iesniegšanas un atvēršanas vieta, datums, laiks un kārtība</w:t>
      </w:r>
    </w:p>
    <w:p w:rsidR="00DA0289" w:rsidRPr="00A43F18" w:rsidRDefault="00A43F18" w:rsidP="00DD0BB2">
      <w:pPr>
        <w:pStyle w:val="ListParagraph"/>
        <w:widowControl w:val="0"/>
        <w:suppressAutoHyphens/>
        <w:ind w:left="0"/>
        <w:jc w:val="both"/>
        <w:rPr>
          <w:b/>
        </w:rPr>
      </w:pPr>
      <w:r>
        <w:t>4</w:t>
      </w:r>
      <w:r w:rsidR="000716D0">
        <w:t>.</w:t>
      </w:r>
      <w:r w:rsidR="00DA0289" w:rsidRPr="002B225D">
        <w:t xml:space="preserve">1. </w:t>
      </w:r>
      <w:r w:rsidR="00F61BAE" w:rsidRPr="00DE6117">
        <w:t>Piedāvājumi jāiesniedz</w:t>
      </w:r>
      <w:r w:rsidR="00F61BAE" w:rsidRPr="00DE6117">
        <w:rPr>
          <w:bCs/>
        </w:rPr>
        <w:t xml:space="preserve"> elektroniski</w:t>
      </w:r>
      <w:r>
        <w:rPr>
          <w:bCs/>
        </w:rPr>
        <w:t xml:space="preserve"> e-pastā </w:t>
      </w:r>
      <w:hyperlink r:id="rId11" w:history="1">
        <w:proofErr w:type="spellStart"/>
        <w:r w:rsidRPr="001F0157">
          <w:rPr>
            <w:rStyle w:val="Hyperlink"/>
            <w:bCs/>
          </w:rPr>
          <w:t>info@kekavasnami.lv</w:t>
        </w:r>
        <w:proofErr w:type="spellEnd"/>
      </w:hyperlink>
      <w:r>
        <w:rPr>
          <w:bCs/>
        </w:rPr>
        <w:t xml:space="preserve"> </w:t>
      </w:r>
      <w:r w:rsidR="00F61BAE" w:rsidRPr="00DE6117">
        <w:rPr>
          <w:bCs/>
        </w:rPr>
        <w:t xml:space="preserve"> </w:t>
      </w:r>
      <w:r>
        <w:rPr>
          <w:bCs/>
        </w:rPr>
        <w:t xml:space="preserve">līdz </w:t>
      </w:r>
      <w:proofErr w:type="spellStart"/>
      <w:r w:rsidRPr="00A43F18">
        <w:rPr>
          <w:b/>
          <w:bCs/>
        </w:rPr>
        <w:t>2025.gada</w:t>
      </w:r>
      <w:proofErr w:type="spellEnd"/>
      <w:r w:rsidRPr="00A43F18">
        <w:rPr>
          <w:b/>
          <w:bCs/>
        </w:rPr>
        <w:t xml:space="preserve"> </w:t>
      </w:r>
      <w:proofErr w:type="spellStart"/>
      <w:r w:rsidRPr="00A43F18">
        <w:rPr>
          <w:b/>
          <w:bCs/>
        </w:rPr>
        <w:t>1.septembrim</w:t>
      </w:r>
      <w:proofErr w:type="spellEnd"/>
      <w:r w:rsidRPr="00A43F18">
        <w:rPr>
          <w:b/>
          <w:bCs/>
        </w:rPr>
        <w:t xml:space="preserve"> plkst. 11.00. </w:t>
      </w:r>
    </w:p>
    <w:p w:rsidR="00DA0289" w:rsidRDefault="000716D0" w:rsidP="00DA0289">
      <w:pPr>
        <w:pStyle w:val="ListParagraph"/>
        <w:widowControl w:val="0"/>
        <w:suppressAutoHyphens/>
        <w:ind w:left="0"/>
        <w:jc w:val="both"/>
      </w:pPr>
      <w:r>
        <w:t>5</w:t>
      </w:r>
      <w:r w:rsidR="00DA0289" w:rsidRPr="002B225D">
        <w:t xml:space="preserve">.2. </w:t>
      </w:r>
      <w:r w:rsidR="00864F42" w:rsidRPr="00DE6117">
        <w:rPr>
          <w:bCs/>
        </w:rPr>
        <w:t>Piedāvājumus atver</w:t>
      </w:r>
      <w:r w:rsidR="00864F42" w:rsidRPr="00DE6117">
        <w:t xml:space="preserve"> </w:t>
      </w:r>
      <w:proofErr w:type="spellStart"/>
      <w:r w:rsidR="00A43F18">
        <w:t>2025.gada</w:t>
      </w:r>
      <w:proofErr w:type="spellEnd"/>
      <w:r w:rsidR="00A43F18">
        <w:t xml:space="preserve"> </w:t>
      </w:r>
      <w:proofErr w:type="spellStart"/>
      <w:r w:rsidR="00A43F18">
        <w:t>1.septembrī</w:t>
      </w:r>
      <w:proofErr w:type="spellEnd"/>
      <w:r w:rsidR="00A43F18">
        <w:t xml:space="preserve"> </w:t>
      </w:r>
      <w:r w:rsidR="00AD3710">
        <w:t xml:space="preserve">pēc  iesniegšanas termiņa, ņemot vērā </w:t>
      </w:r>
      <w:proofErr w:type="spellStart"/>
      <w:r w:rsidR="00AD3710">
        <w:t>5.3.punkta</w:t>
      </w:r>
      <w:proofErr w:type="spellEnd"/>
      <w:r w:rsidR="00AD3710">
        <w:t xml:space="preserve"> nosacījumu.</w:t>
      </w:r>
    </w:p>
    <w:p w:rsidR="00AD3710" w:rsidRPr="002B225D" w:rsidRDefault="00AD3710" w:rsidP="00DA0289">
      <w:pPr>
        <w:pStyle w:val="ListParagraph"/>
        <w:widowControl w:val="0"/>
        <w:suppressAutoHyphens/>
        <w:ind w:left="0"/>
        <w:jc w:val="both"/>
        <w:rPr>
          <w:iCs/>
        </w:rPr>
      </w:pPr>
      <w:r>
        <w:rPr>
          <w:iCs/>
        </w:rPr>
        <w:t xml:space="preserve">5.3. </w:t>
      </w:r>
      <w:proofErr w:type="spellStart"/>
      <w:r>
        <w:rPr>
          <w:iCs/>
        </w:rPr>
        <w:t>Prtendents</w:t>
      </w:r>
      <w:proofErr w:type="spellEnd"/>
      <w:r>
        <w:rPr>
          <w:iCs/>
        </w:rPr>
        <w:t xml:space="preserve">, kas iesniedzis šifrētu pieteikumu, šifra atslēgu līdz </w:t>
      </w:r>
      <w:proofErr w:type="spellStart"/>
      <w:r>
        <w:rPr>
          <w:iCs/>
        </w:rPr>
        <w:t>2025.gada</w:t>
      </w:r>
      <w:proofErr w:type="spellEnd"/>
      <w:r>
        <w:rPr>
          <w:iCs/>
        </w:rPr>
        <w:t xml:space="preserve"> </w:t>
      </w:r>
      <w:proofErr w:type="spellStart"/>
      <w:r>
        <w:rPr>
          <w:iCs/>
        </w:rPr>
        <w:t>1.septembra</w:t>
      </w:r>
      <w:proofErr w:type="spellEnd"/>
      <w:r>
        <w:rPr>
          <w:iCs/>
        </w:rPr>
        <w:t xml:space="preserve"> plkst. 11.15. </w:t>
      </w:r>
      <w:proofErr w:type="spellStart"/>
      <w:r>
        <w:rPr>
          <w:iCs/>
        </w:rPr>
        <w:t>iesūta</w:t>
      </w:r>
      <w:proofErr w:type="spellEnd"/>
      <w:r>
        <w:rPr>
          <w:iCs/>
        </w:rPr>
        <w:t xml:space="preserve"> e-pastā </w:t>
      </w:r>
      <w:hyperlink r:id="rId12" w:history="1">
        <w:proofErr w:type="spellStart"/>
        <w:r w:rsidRPr="001F0157">
          <w:rPr>
            <w:rStyle w:val="Hyperlink"/>
            <w:iCs/>
          </w:rPr>
          <w:t>ilgonis.leisavnieks@kekavasnami.lv</w:t>
        </w:r>
        <w:proofErr w:type="spellEnd"/>
      </w:hyperlink>
      <w:r>
        <w:rPr>
          <w:iCs/>
        </w:rPr>
        <w:t xml:space="preserve">. </w:t>
      </w:r>
    </w:p>
    <w:p w:rsidR="00DA0289" w:rsidRPr="00B42708" w:rsidRDefault="000716D0" w:rsidP="00AD3710">
      <w:pPr>
        <w:pStyle w:val="ListParagraph"/>
        <w:widowControl w:val="0"/>
        <w:tabs>
          <w:tab w:val="left" w:pos="1276"/>
        </w:tabs>
        <w:overflowPunct w:val="0"/>
        <w:autoSpaceDE w:val="0"/>
        <w:autoSpaceDN w:val="0"/>
        <w:adjustRightInd w:val="0"/>
        <w:ind w:left="0"/>
        <w:jc w:val="both"/>
        <w:rPr>
          <w:szCs w:val="20"/>
        </w:rPr>
      </w:pPr>
      <w:r>
        <w:rPr>
          <w:iCs/>
        </w:rPr>
        <w:t>5</w:t>
      </w:r>
      <w:r w:rsidR="00DA0289" w:rsidRPr="002B225D">
        <w:rPr>
          <w:iCs/>
        </w:rPr>
        <w:t>.</w:t>
      </w:r>
      <w:r w:rsidR="00AD3710">
        <w:rPr>
          <w:iCs/>
        </w:rPr>
        <w:t>4</w:t>
      </w:r>
      <w:r w:rsidR="00DA0289" w:rsidRPr="002B225D">
        <w:rPr>
          <w:iCs/>
        </w:rPr>
        <w:t xml:space="preserve">. </w:t>
      </w:r>
      <w:r w:rsidR="00DA0289" w:rsidRPr="002B225D">
        <w:rPr>
          <w:szCs w:val="20"/>
        </w:rPr>
        <w:t>Pretendents var grozīt vai atsaukt iesniegto piedāvājumu pirms piedāvājumu iesniegšanas termiņa beigām. Pēc piedāvājuma iesniegšanas termiņa beigām Pasūtītājs grozījumus piedāvājumā nepieņem.</w:t>
      </w:r>
      <w:r w:rsidR="00DA0289" w:rsidRPr="002B225D">
        <w:t xml:space="preserve"> </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DA0289" w:rsidRPr="002B225D" w:rsidRDefault="00AD3710" w:rsidP="00DA0289">
      <w:pPr>
        <w:widowControl w:val="0"/>
        <w:suppressAutoHyphens/>
        <w:jc w:val="both"/>
      </w:pPr>
      <w:r>
        <w:t>5</w:t>
      </w:r>
      <w:r w:rsidR="00DA0289" w:rsidRPr="002B225D">
        <w:t xml:space="preserve">.1. Pretendents sagatavo un iesniedz piedāvājumu saskaņā ar šī nolikuma prasībām, ievērojot spēkā esošos normatīvos aktus. </w:t>
      </w:r>
    </w:p>
    <w:p w:rsidR="00DA0289" w:rsidRPr="002B225D" w:rsidRDefault="00AD3710" w:rsidP="00DA0289">
      <w:pPr>
        <w:widowControl w:val="0"/>
        <w:suppressAutoHyphens/>
        <w:jc w:val="both"/>
      </w:pPr>
      <w:r>
        <w:t>5</w:t>
      </w:r>
      <w:r w:rsidR="00DA0289" w:rsidRPr="002B225D">
        <w:t xml:space="preserve">.2. Sagatavojot piedāvājumu, </w:t>
      </w:r>
      <w:r w:rsidR="00B42708">
        <w:t>p</w:t>
      </w:r>
      <w:r w:rsidR="00DA0289" w:rsidRPr="002B225D">
        <w:t>retendents ievēro, ka:</w:t>
      </w:r>
    </w:p>
    <w:p w:rsidR="00DA0289" w:rsidRPr="002B225D" w:rsidRDefault="00AD3710" w:rsidP="00DA0289">
      <w:pPr>
        <w:pStyle w:val="ListParagraph"/>
        <w:suppressAutoHyphens/>
        <w:ind w:left="360"/>
        <w:jc w:val="both"/>
      </w:pPr>
      <w:r>
        <w:t>5.2</w:t>
      </w:r>
      <w:r w:rsidR="00DA0289" w:rsidRPr="002B225D">
        <w:t>.1. Pieteikumu (</w:t>
      </w:r>
      <w:proofErr w:type="spellStart"/>
      <w:r w:rsidR="00DA0289" w:rsidRPr="002B225D">
        <w:t>1.pielikums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AD3710" w:rsidP="00DA0289">
      <w:pPr>
        <w:pStyle w:val="ListParagraph"/>
        <w:widowControl w:val="0"/>
        <w:suppressAutoHyphens/>
        <w:ind w:left="360"/>
        <w:jc w:val="both"/>
      </w:pPr>
      <w:r>
        <w:t>5.2</w:t>
      </w:r>
      <w:r w:rsidR="00DA0289" w:rsidRPr="002B225D">
        <w:t xml:space="preserve">.2. Citus dokumentus </w:t>
      </w:r>
      <w:r w:rsidR="00BD70C6">
        <w:t>p</w:t>
      </w:r>
      <w:r w:rsidR="00DA0289" w:rsidRPr="002B225D">
        <w:t>retendents pēc saviem ieskatiem ir tiesīgs iesniegt elektroniskā formā, parakstot ar drošu elektronisko parakstu</w:t>
      </w:r>
      <w:r>
        <w:t xml:space="preserve"> vai kā </w:t>
      </w:r>
      <w:proofErr w:type="spellStart"/>
      <w:r>
        <w:t>pdf</w:t>
      </w:r>
      <w:proofErr w:type="spellEnd"/>
      <w:r>
        <w:t xml:space="preserve"> formātu.</w:t>
      </w:r>
    </w:p>
    <w:p w:rsidR="00DA0289" w:rsidRPr="002B225D" w:rsidRDefault="00AD3710" w:rsidP="00DA0289">
      <w:pPr>
        <w:pStyle w:val="ListParagraph"/>
        <w:widowControl w:val="0"/>
        <w:suppressAutoHyphens/>
        <w:ind w:left="360"/>
        <w:jc w:val="both"/>
      </w:pPr>
      <w:r>
        <w:t>5</w:t>
      </w:r>
      <w:r w:rsidR="00DA0289" w:rsidRPr="002B225D">
        <w:t>.</w:t>
      </w:r>
      <w:r>
        <w:t>2</w:t>
      </w:r>
      <w:r w:rsidR="00DA0289" w:rsidRPr="002B225D">
        <w:t xml:space="preserve">.3.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AD3710" w:rsidP="00DA0289">
      <w:pPr>
        <w:pStyle w:val="ListParagraph"/>
        <w:widowControl w:val="0"/>
        <w:suppressAutoHyphens/>
        <w:ind w:left="360"/>
        <w:jc w:val="both"/>
      </w:pPr>
      <w:r>
        <w:t>5.2</w:t>
      </w:r>
      <w:r w:rsidR="00DA0289" w:rsidRPr="002B225D">
        <w:t xml:space="preserve">.4. Ja </w:t>
      </w:r>
      <w:r w:rsidR="00BD70C6">
        <w:t>p</w:t>
      </w:r>
      <w:r w:rsidR="00DA0289"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Sabiedrisko pakalpojumu sniedzēju likuma </w:t>
      </w:r>
      <w:proofErr w:type="spellStart"/>
      <w:r w:rsidR="00DA0289" w:rsidRPr="002B225D">
        <w:t>47.panta</w:t>
      </w:r>
      <w:proofErr w:type="spellEnd"/>
      <w:r w:rsidR="00DA0289" w:rsidRPr="002B225D">
        <w:t xml:space="preserve"> astotā punkta kārtībā var pieprasīt, lai </w:t>
      </w:r>
      <w:r w:rsidR="00BD70C6">
        <w:t>p</w:t>
      </w:r>
      <w:r w:rsidR="00DA0289" w:rsidRPr="002B225D">
        <w:t>retendents uzrāda dokumenta oriģinālu vai iesniedz apliecinātu dokumenta kopiju.</w:t>
      </w:r>
    </w:p>
    <w:p w:rsidR="00DA0289" w:rsidRPr="002B225D" w:rsidRDefault="00AD3710" w:rsidP="00DA0289">
      <w:pPr>
        <w:pStyle w:val="ListParagraph"/>
        <w:widowControl w:val="0"/>
        <w:suppressAutoHyphens/>
        <w:ind w:left="360"/>
        <w:jc w:val="both"/>
      </w:pPr>
      <w:r>
        <w:t>5.2</w:t>
      </w:r>
      <w:r w:rsidR="00DA0289" w:rsidRPr="002B225D">
        <w:t xml:space="preserve">.5.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AD3710" w:rsidP="00DA0289">
      <w:pPr>
        <w:pStyle w:val="ListParagraph"/>
        <w:widowControl w:val="0"/>
        <w:suppressAutoHyphens/>
        <w:ind w:left="360"/>
        <w:jc w:val="both"/>
      </w:pPr>
      <w:r>
        <w:t>5.2</w:t>
      </w:r>
      <w:r w:rsidR="00DA0289" w:rsidRPr="002B225D">
        <w:t xml:space="preserve">.6. Iesniedzot piedāvājumu, </w:t>
      </w:r>
      <w:r w:rsidR="00BD70C6">
        <w:t>p</w:t>
      </w:r>
      <w:r w:rsidR="00DA0289" w:rsidRPr="002B225D">
        <w:t xml:space="preserve">retendents pilnībā atzīst visus Nolikumā (t.sk. tā pielikumos un formās, kuras ir ievietotas </w:t>
      </w:r>
      <w:r>
        <w:t>Pasūtītāja mājas lapā</w:t>
      </w:r>
      <w:r w:rsidR="00DA0289" w:rsidRPr="002B225D">
        <w:t>) ietvertos nosacījumus.</w:t>
      </w:r>
    </w:p>
    <w:p w:rsidR="00DA0289" w:rsidRPr="002B225D" w:rsidRDefault="00AD3710" w:rsidP="00DA0289">
      <w:pPr>
        <w:widowControl w:val="0"/>
        <w:suppressAutoHyphens/>
        <w:jc w:val="both"/>
      </w:pPr>
      <w:r>
        <w:t>5</w:t>
      </w:r>
      <w:r w:rsidR="00DA0289" w:rsidRPr="002B225D">
        <w:t>.4. Iesniegtie piedāvājumi, izņemot, ja pretendents piedāvājumu atsauc, paliek Pasūtītāja īpašumā.</w:t>
      </w:r>
    </w:p>
    <w:p w:rsidR="00DA0289" w:rsidRPr="002B225D" w:rsidRDefault="00AD3710" w:rsidP="00AD3710">
      <w:pPr>
        <w:widowControl w:val="0"/>
        <w:suppressAutoHyphens/>
        <w:jc w:val="both"/>
        <w:rPr>
          <w:lang w:eastAsia="ar-SA"/>
        </w:rPr>
      </w:pPr>
      <w:r>
        <w:t>5</w:t>
      </w:r>
      <w:r w:rsidR="00DA0289" w:rsidRPr="002B225D">
        <w:t xml:space="preserve">.5. </w:t>
      </w:r>
      <w:r w:rsidR="00DA0289" w:rsidRPr="002B225D">
        <w:rPr>
          <w:lang w:eastAsia="ar-SA"/>
        </w:rPr>
        <w:t>Par jebkuru informāciju, kas ir konfidenciāla, jābūt īpašai norādei.</w:t>
      </w:r>
    </w:p>
    <w:p w:rsidR="00DA0289" w:rsidRPr="00461DA3" w:rsidRDefault="0071634A" w:rsidP="00DA0289">
      <w:pPr>
        <w:widowControl w:val="0"/>
        <w:tabs>
          <w:tab w:val="left" w:pos="851"/>
          <w:tab w:val="left" w:pos="1260"/>
        </w:tabs>
        <w:suppressAutoHyphens/>
        <w:jc w:val="both"/>
        <w:rPr>
          <w:lang w:eastAsia="ar-SA"/>
        </w:rPr>
      </w:pPr>
      <w:r>
        <w:rPr>
          <w:lang w:eastAsia="ar-SA"/>
        </w:rPr>
        <w:t>5</w:t>
      </w:r>
      <w:r w:rsidR="00DA0289" w:rsidRPr="002B225D">
        <w:rPr>
          <w:lang w:eastAsia="ar-SA"/>
        </w:rPr>
        <w:t xml:space="preserve">.7.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neuzņemas nekādas saistības par šīm izmaksām, neatkarīgi no  konkursa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356" w:type="dxa"/>
        <w:tblInd w:w="-5" w:type="dxa"/>
        <w:tblLook w:val="04A0" w:firstRow="1" w:lastRow="0" w:firstColumn="1" w:lastColumn="0" w:noHBand="0" w:noVBand="1"/>
      </w:tblPr>
      <w:tblGrid>
        <w:gridCol w:w="851"/>
        <w:gridCol w:w="3969"/>
        <w:gridCol w:w="4536"/>
      </w:tblGrid>
      <w:tr w:rsidR="00DA0289" w:rsidRPr="00DC6BF3" w:rsidTr="0071634A">
        <w:tc>
          <w:tcPr>
            <w:tcW w:w="851" w:type="dxa"/>
            <w:vAlign w:val="center"/>
          </w:tcPr>
          <w:p w:rsidR="00DA0289" w:rsidRPr="00C23B67" w:rsidRDefault="00DA0289" w:rsidP="00C82CAD">
            <w:pPr>
              <w:jc w:val="center"/>
              <w:rPr>
                <w:b/>
                <w:sz w:val="20"/>
                <w:szCs w:val="20"/>
              </w:rPr>
            </w:pPr>
            <w:r w:rsidRPr="00C23B67">
              <w:rPr>
                <w:b/>
                <w:sz w:val="20"/>
                <w:szCs w:val="20"/>
              </w:rPr>
              <w:t>Nr.</w:t>
            </w:r>
          </w:p>
          <w:p w:rsidR="00DA0289" w:rsidRPr="00C23B67" w:rsidRDefault="00DA0289" w:rsidP="00C82CAD">
            <w:pPr>
              <w:jc w:val="center"/>
              <w:rPr>
                <w:b/>
                <w:sz w:val="20"/>
                <w:szCs w:val="20"/>
                <w:lang w:eastAsia="en-US"/>
              </w:rPr>
            </w:pPr>
            <w:r w:rsidRPr="00C23B67">
              <w:rPr>
                <w:b/>
                <w:sz w:val="20"/>
                <w:szCs w:val="20"/>
                <w:lang w:eastAsia="en-US"/>
              </w:rPr>
              <w:t>p.k.</w:t>
            </w:r>
          </w:p>
        </w:tc>
        <w:tc>
          <w:tcPr>
            <w:tcW w:w="3969" w:type="dxa"/>
            <w:vAlign w:val="center"/>
          </w:tcPr>
          <w:p w:rsidR="00DA0289" w:rsidRPr="00C23B67" w:rsidRDefault="00DA0289" w:rsidP="00C82CAD">
            <w:pPr>
              <w:jc w:val="center"/>
              <w:rPr>
                <w:b/>
                <w:sz w:val="20"/>
                <w:szCs w:val="20"/>
                <w:lang w:eastAsia="en-US"/>
              </w:rPr>
            </w:pPr>
            <w:r w:rsidRPr="00C23B67">
              <w:rPr>
                <w:b/>
                <w:sz w:val="20"/>
                <w:szCs w:val="20"/>
              </w:rPr>
              <w:t>Prasības</w:t>
            </w:r>
          </w:p>
        </w:tc>
        <w:tc>
          <w:tcPr>
            <w:tcW w:w="4536" w:type="dxa"/>
            <w:vAlign w:val="center"/>
          </w:tcPr>
          <w:p w:rsidR="00DA0289" w:rsidRPr="00C23B67" w:rsidRDefault="00DA0289" w:rsidP="00C82CAD">
            <w:pPr>
              <w:jc w:val="center"/>
              <w:rPr>
                <w:b/>
                <w:sz w:val="20"/>
                <w:szCs w:val="20"/>
                <w:lang w:eastAsia="en-US"/>
              </w:rPr>
            </w:pPr>
            <w:r w:rsidRPr="00C23B67">
              <w:rPr>
                <w:b/>
                <w:sz w:val="20"/>
                <w:szCs w:val="20"/>
                <w:lang w:eastAsia="en-US"/>
              </w:rPr>
              <w:t>Iesniedzamā informācija, kas nepieciešama, lai Pretendentu novērtētu saskaņā ar minētajām prasībām</w:t>
            </w: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.1.</w:t>
            </w:r>
          </w:p>
        </w:tc>
        <w:tc>
          <w:tcPr>
            <w:tcW w:w="3969"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C82CAD">
            <w:pPr>
              <w:ind w:firstLine="363"/>
              <w:jc w:val="both"/>
            </w:pPr>
            <w:r w:rsidRPr="00DC6BF3">
              <w:lastRenderedPageBreak/>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p w:rsidR="00DA0289" w:rsidRPr="00DC6BF3" w:rsidRDefault="00DA0289" w:rsidP="00C82CAD">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lastRenderedPageBreak/>
              <w:t xml:space="preserve">Par Latvijā reģistrētiem </w:t>
            </w:r>
            <w:r w:rsidR="00BD70C6">
              <w:t>p</w:t>
            </w:r>
            <w:r w:rsidRPr="00DC6BF3">
              <w:t>retendentiem Pasūtītāj</w:t>
            </w:r>
            <w:r w:rsidR="00221CF9">
              <w:t>s</w:t>
            </w:r>
            <w:r w:rsidRPr="00DC6BF3">
              <w:t xml:space="preserve"> pārliecinās Uzņēmumu reģistra mājas lapā </w:t>
            </w:r>
            <w:hyperlink r:id="rId13"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DA0289" w:rsidRPr="00DC6BF3" w:rsidRDefault="00DA0289" w:rsidP="00C82CAD">
            <w:pPr>
              <w:ind w:right="-58" w:firstLine="335"/>
              <w:jc w:val="both"/>
            </w:pPr>
            <w:r w:rsidRPr="00DC6BF3">
              <w:lastRenderedPageBreak/>
              <w:t>Ja attiecīgu informāciju publiskajās datubāzēs nevarēs iegūt vai netiks iegūta pilnīga informācija, to pieprasīs pretendentam.</w:t>
            </w:r>
          </w:p>
          <w:p w:rsidR="00DA0289" w:rsidRPr="00DC6BF3" w:rsidRDefault="00DA0289" w:rsidP="00C82CAD">
            <w:pPr>
              <w:ind w:right="-58" w:firstLine="335"/>
              <w:jc w:val="both"/>
            </w:pPr>
            <w:r w:rsidRPr="00DC6BF3">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rsidR="00DA0289" w:rsidRPr="00DC6BF3" w:rsidRDefault="00DA0289" w:rsidP="00C82CAD">
            <w:pPr>
              <w:ind w:firstLine="335"/>
              <w:jc w:val="both"/>
              <w:rPr>
                <w:u w:val="single"/>
              </w:rPr>
            </w:pPr>
            <w:r w:rsidRPr="00DC6BF3">
              <w:t>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DA0289" w:rsidRPr="00DC6BF3" w:rsidRDefault="00DA0289" w:rsidP="00C82CAD">
            <w:pPr>
              <w:ind w:firstLine="335"/>
              <w:jc w:val="both"/>
              <w:rPr>
                <w:lang w:eastAsia="en-US"/>
              </w:rPr>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lastRenderedPageBreak/>
              <w:t>6</w:t>
            </w:r>
            <w:r w:rsidR="00DA0289" w:rsidRPr="00DC6BF3">
              <w:rPr>
                <w:lang w:eastAsia="en-US"/>
              </w:rPr>
              <w:t>.2.</w:t>
            </w:r>
          </w:p>
        </w:tc>
        <w:tc>
          <w:tcPr>
            <w:tcW w:w="3969"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 xml:space="preserve">Kompetentas institūcijas izdotu dokumentu par </w:t>
            </w:r>
            <w:r w:rsidR="00BD70C6">
              <w:rPr>
                <w:lang w:eastAsia="en-US"/>
              </w:rPr>
              <w:t>p</w:t>
            </w:r>
            <w:r w:rsidRPr="00DC6BF3">
              <w:rPr>
                <w:lang w:eastAsia="en-US"/>
              </w:rPr>
              <w:t>retendenta pārstāvības tiesībām, vai arī dokumentu, kas apliecina piedāvājumu parakstījušās personas tiesības pārstāvēt Pretendentu, ja piedāvājumu neparaksta Pretendenta likumiskais pārstāvis.</w:t>
            </w:r>
          </w:p>
          <w:p w:rsidR="00DA0289" w:rsidRPr="00DC6BF3" w:rsidRDefault="00DA0289" w:rsidP="00C82CAD">
            <w:pPr>
              <w:ind w:left="39" w:firstLine="335"/>
              <w:jc w:val="both"/>
              <w:rPr>
                <w:lang w:eastAsia="en-US"/>
              </w:rPr>
            </w:pPr>
            <w:r w:rsidRPr="00DC6BF3">
              <w:rPr>
                <w:lang w:eastAsia="en-US"/>
              </w:rPr>
              <w:t xml:space="preserve">Par Latvijā reģistrētiem Pretendentiem Pasūtītājam pašam jāpārliecinās Uzņēmumu reģistra mājas lapā </w:t>
            </w:r>
            <w:hyperlink r:id="rId14"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C82CAD">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p w:rsidR="00DA0289" w:rsidRPr="00DC6BF3" w:rsidRDefault="00DA0289" w:rsidP="00221CF9">
            <w:pPr>
              <w:ind w:right="-58" w:firstLine="335"/>
              <w:jc w:val="both"/>
              <w:rPr>
                <w:color w:val="000000" w:themeColor="text1"/>
              </w:rPr>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.3.</w:t>
            </w:r>
          </w:p>
        </w:tc>
        <w:tc>
          <w:tcPr>
            <w:tcW w:w="3969"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w:t>
            </w:r>
            <w:r w:rsidR="0071634A" w:rsidRPr="00DC6BF3">
              <w:rPr>
                <w:lang w:eastAsia="en-US"/>
              </w:rPr>
              <w:t xml:space="preserve">Sabiedrisko pakalpojumu sniedzēju iepirkumu likuma </w:t>
            </w:r>
            <w:proofErr w:type="spellStart"/>
            <w:r w:rsidR="0071634A" w:rsidRPr="00DC6BF3">
              <w:rPr>
                <w:lang w:eastAsia="en-US"/>
              </w:rPr>
              <w:t>48.panta</w:t>
            </w:r>
            <w:proofErr w:type="spellEnd"/>
            <w:r w:rsidR="0071634A" w:rsidRPr="00DC6BF3">
              <w:rPr>
                <w:lang w:eastAsia="en-US"/>
              </w:rPr>
              <w:t xml:space="preserve"> pirmajā daļā minētie izslēgšanas nosacījumi.</w:t>
            </w:r>
          </w:p>
        </w:tc>
        <w:tc>
          <w:tcPr>
            <w:tcW w:w="4536" w:type="dxa"/>
            <w:vAlign w:val="center"/>
          </w:tcPr>
          <w:p w:rsidR="00DA0289" w:rsidRPr="00DC6BF3" w:rsidRDefault="00DA0289" w:rsidP="00C82CAD">
            <w:pPr>
              <w:ind w:firstLine="335"/>
              <w:jc w:val="both"/>
            </w:pPr>
            <w:r w:rsidRPr="00DC6BF3">
              <w:t>Komisijai pati pārliecināties par izslēgšanas nosacījumu neesamību publiski pieejamās datu bāzēs.</w:t>
            </w:r>
          </w:p>
          <w:p w:rsidR="00DA0289" w:rsidRPr="00DC6BF3" w:rsidRDefault="00DA0289" w:rsidP="00C82CAD">
            <w:pPr>
              <w:ind w:firstLine="335"/>
              <w:jc w:val="both"/>
            </w:pPr>
            <w:r w:rsidRPr="00DC6BF3">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rsidR="00DA0289" w:rsidRPr="00DC6BF3" w:rsidRDefault="00DA0289" w:rsidP="00C82CAD">
            <w:pPr>
              <w:ind w:firstLine="335"/>
              <w:jc w:val="both"/>
            </w:pPr>
            <w:r w:rsidRPr="00DC6BF3">
              <w:t xml:space="preserve">Kompetento institūciju izsniegtās izziņas un citus dokumentus, ko izsniedz Latvijas institūcijas, Pasūtītājs pieņem un atzīst, ja tie izdoti ne agrāk kā vienu mēnesi pirms iesniegšanas dienas, bet ārvalstu kompetento institūciju izziņas, ja tās izdotas ne agrāk kā </w:t>
            </w:r>
            <w:r w:rsidRPr="00DC6BF3">
              <w:lastRenderedPageBreak/>
              <w:t>sešus mēnešus pirms iesniegšanas dienas, ja izziņas vai dokumenta izdevējs nav norādījis īsāku tā derīguma termiņu.</w:t>
            </w:r>
          </w:p>
          <w:p w:rsidR="00DA0289" w:rsidRPr="00DC6BF3" w:rsidRDefault="00DA0289" w:rsidP="00C82CAD">
            <w:pPr>
              <w:ind w:firstLine="335"/>
              <w:jc w:val="both"/>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lastRenderedPageBreak/>
              <w:t>6</w:t>
            </w:r>
            <w:r w:rsidR="00DA0289" w:rsidRPr="00DC6BF3">
              <w:rPr>
                <w:lang w:eastAsia="en-US"/>
              </w:rPr>
              <w:t>.4.</w:t>
            </w:r>
          </w:p>
        </w:tc>
        <w:tc>
          <w:tcPr>
            <w:tcW w:w="3969" w:type="dxa"/>
          </w:tcPr>
          <w:p w:rsidR="00DA0289" w:rsidRPr="00DC6BF3" w:rsidRDefault="00DA0289" w:rsidP="00C82CAD">
            <w:pPr>
              <w:ind w:firstLine="363"/>
              <w:jc w:val="both"/>
            </w:pPr>
            <w:r w:rsidRPr="00DC6BF3">
              <w:t>Iepirkuma līguma slēgšanas gadījumā pretendentam jābūt reģistrētam Latvijas Republikas Būvkomersantu reģistrā tiesīgam sniegt līguma priekšmeta paredzētos projektēšanas un autoruzraudzības pakalpojumus.</w:t>
            </w:r>
          </w:p>
          <w:p w:rsidR="00DA0289" w:rsidRPr="00DC6BF3" w:rsidRDefault="00DA0289" w:rsidP="00C82CAD">
            <w:pPr>
              <w:ind w:firstLine="363"/>
              <w:jc w:val="both"/>
              <w:rPr>
                <w:bCs/>
              </w:rPr>
            </w:pPr>
            <w:r w:rsidRPr="00DC6BF3">
              <w:rPr>
                <w:bCs/>
              </w:rPr>
              <w:t xml:space="preserve">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paziņojumā par līgumu vai iepirkuma procedūras dokumentos noteiktajām prasībām un apakšuzņēmējiem (ja pretendents plāno piesaistīt apakšuzņēmējus), kas sniegs pakalpojumus, kuru veikšanai nepieciešama reģistrācija </w:t>
            </w:r>
            <w:r w:rsidRPr="00DC6BF3">
              <w:t>Latvijas Republikas</w:t>
            </w:r>
            <w:r w:rsidRPr="00DC6BF3">
              <w:rPr>
                <w:bCs/>
              </w:rPr>
              <w:t xml:space="preserve"> Būvkomersantu reģistrā.</w:t>
            </w:r>
          </w:p>
          <w:p w:rsidR="00DA0289" w:rsidRPr="00DC6BF3" w:rsidRDefault="00DA0289" w:rsidP="00C82CAD">
            <w:pPr>
              <w:ind w:firstLine="363"/>
              <w:jc w:val="both"/>
              <w:rPr>
                <w:bCs/>
              </w:rPr>
            </w:pPr>
          </w:p>
        </w:tc>
        <w:tc>
          <w:tcPr>
            <w:tcW w:w="4536" w:type="dxa"/>
          </w:tcPr>
          <w:p w:rsidR="00DA0289" w:rsidRPr="00DC6BF3" w:rsidRDefault="00DA0289" w:rsidP="00C82CAD">
            <w:pPr>
              <w:tabs>
                <w:tab w:val="num" w:pos="600"/>
              </w:tabs>
              <w:ind w:right="-58" w:firstLine="335"/>
              <w:jc w:val="both"/>
            </w:pPr>
            <w:r w:rsidRPr="00DC6BF3">
              <w:t>Latvijas Republikas reģistrēta uzņēmuma reģistrācijas fakts Latvijas Republikas</w:t>
            </w:r>
            <w:r w:rsidRPr="00DC6BF3">
              <w:rPr>
                <w:bCs/>
              </w:rPr>
              <w:t xml:space="preserve"> Būvkomersantu reģistrā</w:t>
            </w:r>
            <w:r w:rsidRPr="00DC6BF3">
              <w:t xml:space="preserve"> </w:t>
            </w:r>
            <w:r w:rsidRPr="00DC6BF3">
              <w:rPr>
                <w:bCs/>
              </w:rPr>
              <w:t xml:space="preserve">tiks pārbaudīts publiski pieejamā būvniecības informācijas sistēmas </w:t>
            </w:r>
            <w:hyperlink r:id="rId15"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DA0289" w:rsidRPr="00DC6BF3" w:rsidRDefault="00DA0289" w:rsidP="00C82CAD">
            <w:pPr>
              <w:tabs>
                <w:tab w:val="num" w:pos="600"/>
              </w:tabs>
              <w:ind w:right="-58" w:firstLine="335"/>
              <w:jc w:val="both"/>
            </w:pPr>
            <w:r w:rsidRPr="00DC6BF3">
              <w:t>Ja pretendents (</w:t>
            </w:r>
            <w:r w:rsidRPr="00DC6BF3">
              <w:rPr>
                <w:bCs/>
              </w:rPr>
              <w:t>personālsabiedrības biedrs, piegādātāju apvienības dalībnieks, apakšuzņēmējs, persona, uz kuras iespējām pretendents balstās</w:t>
            </w:r>
            <w:r w:rsidRPr="00DC6BF3">
              <w:t xml:space="preserve">) nav reģistrēts atbilstoši normatīvo aktu prasībām, jāiesniedz </w:t>
            </w:r>
            <w:r w:rsidRPr="00D039B2">
              <w:t>apliecinājums</w:t>
            </w:r>
            <w:r w:rsidRPr="00DC6BF3">
              <w:t>, ka gadījumā, ja pretendents tiks atzīts par uzvarētāju, attiecīgā persona 5 (piecu) darba dienu laikā no paziņojuma saņemšanas par iepirkuma procedūras rezultātiem iesniegs iesniegumu kompetentai institūcijai reģistrācijai Latvijas Republikas Būvkomersantu reģistrā.</w:t>
            </w:r>
          </w:p>
          <w:p w:rsidR="00DA0289" w:rsidRPr="00DC6BF3" w:rsidRDefault="00DA0289" w:rsidP="00E45398">
            <w:pPr>
              <w:tabs>
                <w:tab w:val="num" w:pos="600"/>
              </w:tabs>
              <w:ind w:right="-58" w:firstLine="335"/>
              <w:jc w:val="both"/>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.5.</w:t>
            </w:r>
          </w:p>
        </w:tc>
        <w:tc>
          <w:tcPr>
            <w:tcW w:w="3969" w:type="dxa"/>
          </w:tcPr>
          <w:p w:rsidR="00DA0289" w:rsidRPr="00DC6BF3" w:rsidRDefault="00DA0289" w:rsidP="00C82CAD">
            <w:pPr>
              <w:ind w:firstLine="363"/>
              <w:jc w:val="both"/>
              <w:rPr>
                <w:lang w:eastAsia="en-US"/>
              </w:rPr>
            </w:pPr>
            <w:r w:rsidRPr="00DC6BF3">
              <w:rPr>
                <w:lang w:eastAsia="en-US"/>
              </w:rPr>
              <w:t xml:space="preserve">Pretendenta pieteikums dalībai iepirkumā, kas apliecina Pretendenta apņemšanos sniegt pakalpojumu saskaņā ar nolikuma prasībām. </w:t>
            </w:r>
          </w:p>
        </w:tc>
        <w:tc>
          <w:tcPr>
            <w:tcW w:w="4536" w:type="dxa"/>
            <w:vAlign w:val="center"/>
          </w:tcPr>
          <w:p w:rsidR="00DA0289" w:rsidRPr="00DC6BF3" w:rsidRDefault="00DA0289" w:rsidP="00C82CAD">
            <w:pPr>
              <w:ind w:firstLine="335"/>
              <w:jc w:val="both"/>
              <w:rPr>
                <w:lang w:eastAsia="en-US"/>
              </w:rPr>
            </w:pPr>
            <w:r w:rsidRPr="00DC6BF3">
              <w:rPr>
                <w:lang w:eastAsia="en-US"/>
              </w:rPr>
              <w:t>Pieteikums jāsagatavo atbilstoši pievienotajai veidnei (</w:t>
            </w:r>
            <w:proofErr w:type="spellStart"/>
            <w:r w:rsidR="00351EC0">
              <w:rPr>
                <w:lang w:eastAsia="en-US"/>
              </w:rPr>
              <w:t>1</w:t>
            </w:r>
            <w:r w:rsidRPr="00DC6BF3">
              <w:rPr>
                <w:lang w:eastAsia="en-US"/>
              </w:rPr>
              <w:t>.pielikums</w:t>
            </w:r>
            <w:proofErr w:type="spellEnd"/>
            <w:r w:rsidRPr="00DC6BF3">
              <w:rPr>
                <w:lang w:eastAsia="en-US"/>
              </w:rPr>
              <w:t xml:space="preserve">). Pieteikumu paraksta </w:t>
            </w:r>
            <w:proofErr w:type="spellStart"/>
            <w:r w:rsidRPr="00DC6BF3">
              <w:rPr>
                <w:lang w:eastAsia="en-US"/>
              </w:rPr>
              <w:t>paraksttiesīgā</w:t>
            </w:r>
            <w:proofErr w:type="spellEnd"/>
            <w:r w:rsidRPr="00DC6BF3">
              <w:rPr>
                <w:lang w:eastAsia="en-US"/>
              </w:rPr>
              <w:t xml:space="preserve"> vai pilnvarotā persona. Ja pieteikumu paraksta pilnvarotā persona, pieteikumam jāpievieno pilnvaras oriģināls vai apliecināta kopija.</w:t>
            </w:r>
          </w:p>
          <w:p w:rsidR="00DA0289" w:rsidRPr="00DC6BF3" w:rsidRDefault="00DA0289" w:rsidP="00C82CAD">
            <w:pPr>
              <w:ind w:firstLine="335"/>
              <w:jc w:val="both"/>
              <w:rPr>
                <w:lang w:eastAsia="en-US"/>
              </w:rPr>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sidRPr="00DC6BF3">
              <w:rPr>
                <w:lang w:eastAsia="en-US"/>
              </w:rPr>
              <w:t>.6.</w:t>
            </w:r>
          </w:p>
        </w:tc>
        <w:tc>
          <w:tcPr>
            <w:tcW w:w="3969" w:type="dxa"/>
          </w:tcPr>
          <w:p w:rsidR="00BD70C6" w:rsidRPr="009C2684" w:rsidRDefault="00BD70C6" w:rsidP="00DD0BB2">
            <w:pPr>
              <w:ind w:firstLine="363"/>
              <w:jc w:val="both"/>
              <w:rPr>
                <w:shd w:val="clear" w:color="auto" w:fill="FFFFFF"/>
              </w:rPr>
            </w:pPr>
            <w:r>
              <w:rPr>
                <w:shd w:val="clear" w:color="auto" w:fill="FFFFFF"/>
              </w:rPr>
              <w:t>Pretendents</w:t>
            </w:r>
            <w:r w:rsidRPr="00DC6BF3">
              <w:rPr>
                <w:shd w:val="clear" w:color="auto" w:fill="FFFFFF"/>
              </w:rPr>
              <w:t xml:space="preserve"> iepriekšējo </w:t>
            </w:r>
            <w:r w:rsidR="00F5644A">
              <w:rPr>
                <w:shd w:val="clear" w:color="auto" w:fill="FFFFFF"/>
              </w:rPr>
              <w:t>trīs</w:t>
            </w:r>
            <w:r w:rsidRPr="00DC6BF3">
              <w:rPr>
                <w:shd w:val="clear" w:color="auto" w:fill="FFFFFF"/>
              </w:rPr>
              <w:t xml:space="preserve"> gadu laikā (20</w:t>
            </w:r>
            <w:r>
              <w:rPr>
                <w:shd w:val="clear" w:color="auto" w:fill="FFFFFF"/>
              </w:rPr>
              <w:t>22</w:t>
            </w:r>
            <w:r w:rsidRPr="00DC6BF3">
              <w:rPr>
                <w:shd w:val="clear" w:color="auto" w:fill="FFFFFF"/>
              </w:rPr>
              <w:t>., 202</w:t>
            </w:r>
            <w:r>
              <w:rPr>
                <w:shd w:val="clear" w:color="auto" w:fill="FFFFFF"/>
              </w:rPr>
              <w:t>3</w:t>
            </w:r>
            <w:r w:rsidRPr="00DC6BF3">
              <w:rPr>
                <w:shd w:val="clear" w:color="auto" w:fill="FFFFFF"/>
              </w:rPr>
              <w:t>.</w:t>
            </w:r>
            <w:r w:rsidR="00DD0BB2">
              <w:rPr>
                <w:shd w:val="clear" w:color="auto" w:fill="FFFFFF"/>
              </w:rPr>
              <w:t>, 2024,</w:t>
            </w:r>
            <w:r w:rsidRPr="00DC6BF3">
              <w:rPr>
                <w:shd w:val="clear" w:color="auto" w:fill="FFFFFF"/>
              </w:rPr>
              <w:t xml:space="preserve"> un </w:t>
            </w:r>
            <w:proofErr w:type="spellStart"/>
            <w:r w:rsidRPr="00DC6BF3">
              <w:rPr>
                <w:shd w:val="clear" w:color="auto" w:fill="FFFFFF"/>
              </w:rPr>
              <w:t>202</w:t>
            </w:r>
            <w:r w:rsidR="00DD0BB2">
              <w:rPr>
                <w:shd w:val="clear" w:color="auto" w:fill="FFFFFF"/>
              </w:rPr>
              <w:t>5</w:t>
            </w:r>
            <w:r w:rsidRPr="00DC6BF3">
              <w:rPr>
                <w:shd w:val="clear" w:color="auto" w:fill="FFFFFF"/>
              </w:rPr>
              <w:t>.gads</w:t>
            </w:r>
            <w:proofErr w:type="spellEnd"/>
            <w:r w:rsidRPr="00DC6BF3">
              <w:rPr>
                <w:shd w:val="clear" w:color="auto" w:fill="FFFFFF"/>
              </w:rPr>
              <w:t xml:space="preserve"> līdz piedāvājumu iesniegšanai) ir</w:t>
            </w:r>
            <w:r>
              <w:rPr>
                <w:shd w:val="clear" w:color="auto" w:fill="FFFFFF"/>
              </w:rPr>
              <w:t xml:space="preserve"> veicis trīs līguma priekšmetā noteiktos darbus</w:t>
            </w:r>
            <w:r w:rsidR="00DD0BB2">
              <w:rPr>
                <w:shd w:val="clear" w:color="auto" w:fill="FFFFFF"/>
              </w:rPr>
              <w:t xml:space="preserve"> par ne mazāku summu, kā paredzētais līguma apjoms.</w:t>
            </w:r>
            <w:r>
              <w:rPr>
                <w:shd w:val="clear" w:color="auto" w:fill="FFFFFF"/>
              </w:rPr>
              <w:t xml:space="preserve"> </w:t>
            </w:r>
          </w:p>
        </w:tc>
        <w:tc>
          <w:tcPr>
            <w:tcW w:w="4536" w:type="dxa"/>
          </w:tcPr>
          <w:p w:rsidR="00BD70C6" w:rsidRPr="004B35AA" w:rsidRDefault="00BD70C6" w:rsidP="00BD70C6">
            <w:pPr>
              <w:jc w:val="both"/>
              <w:rPr>
                <w:strike/>
              </w:rPr>
            </w:pPr>
            <w:r>
              <w:t>P</w:t>
            </w:r>
            <w:r w:rsidRPr="00DC6BF3">
              <w:t xml:space="preserve">ieredzes apliecināšanai pretendents </w:t>
            </w:r>
            <w:r w:rsidRPr="000E4614">
              <w:t xml:space="preserve">iesniedz pieredzes aprakstu </w:t>
            </w:r>
            <w:r w:rsidR="000E4614">
              <w:t>(</w:t>
            </w:r>
            <w:proofErr w:type="spellStart"/>
            <w:r w:rsidR="000E4614">
              <w:t>3.pielikums</w:t>
            </w:r>
            <w:proofErr w:type="spellEnd"/>
            <w:r w:rsidR="000E4614">
              <w:t>)</w:t>
            </w:r>
            <w:r w:rsidRPr="00DC6BF3">
              <w:t xml:space="preserve"> par svarīgāko darbu izpildi atbilstoši izvirzītajam pieredzes aprakstam </w:t>
            </w:r>
            <w:r w:rsidR="00DD0BB2">
              <w:t>būvniecībā.</w:t>
            </w:r>
          </w:p>
          <w:p w:rsidR="00BD70C6" w:rsidRPr="00DC6BF3" w:rsidRDefault="00BD70C6" w:rsidP="00BD70C6">
            <w:pPr>
              <w:pStyle w:val="BodyTextIndent"/>
              <w:spacing w:after="0"/>
              <w:ind w:left="34" w:firstLine="335"/>
              <w:jc w:val="both"/>
              <w:rPr>
                <w:shd w:val="clear" w:color="auto" w:fill="FFFFFF"/>
              </w:rPr>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Pr>
                <w:lang w:eastAsia="en-US"/>
              </w:rPr>
              <w:t>.7.</w:t>
            </w:r>
          </w:p>
        </w:tc>
        <w:tc>
          <w:tcPr>
            <w:tcW w:w="3969" w:type="dxa"/>
          </w:tcPr>
          <w:p w:rsidR="009504DA" w:rsidRPr="00DC6BF3" w:rsidRDefault="00BD70C6" w:rsidP="009504DA">
            <w:pPr>
              <w:pStyle w:val="BodyTextIndent"/>
              <w:spacing w:after="0"/>
              <w:ind w:left="0" w:firstLine="363"/>
              <w:jc w:val="both"/>
              <w:rPr>
                <w:shd w:val="clear" w:color="auto" w:fill="FFFFFF"/>
              </w:rPr>
            </w:pPr>
            <w:r w:rsidRPr="00DC6BF3">
              <w:rPr>
                <w:shd w:val="clear" w:color="auto" w:fill="FFFFFF"/>
              </w:rPr>
              <w:t xml:space="preserve">Pretendents </w:t>
            </w:r>
            <w:r w:rsidRPr="00DC6BF3">
              <w:rPr>
                <w:b/>
                <w:bCs/>
                <w:shd w:val="clear" w:color="auto" w:fill="FFFFFF"/>
              </w:rPr>
              <w:t>obligāti</w:t>
            </w:r>
            <w:r w:rsidRPr="00DC6BF3">
              <w:rPr>
                <w:shd w:val="clear" w:color="auto" w:fill="FFFFFF"/>
              </w:rPr>
              <w:t xml:space="preserve"> nodrošina kvalificētu speciālistu piesaisti Līguma izpildei</w:t>
            </w:r>
            <w:r>
              <w:rPr>
                <w:shd w:val="clear" w:color="auto" w:fill="FFFFFF"/>
              </w:rPr>
              <w:t xml:space="preserve"> – </w:t>
            </w:r>
            <w:r w:rsidR="00DD0BB2">
              <w:rPr>
                <w:shd w:val="clear" w:color="auto" w:fill="FFFFFF"/>
              </w:rPr>
              <w:t>būvdarbu</w:t>
            </w:r>
            <w:r w:rsidRPr="00DC6BF3">
              <w:rPr>
                <w:b/>
                <w:bCs/>
                <w:shd w:val="clear" w:color="auto" w:fill="FFFFFF"/>
              </w:rPr>
              <w:t xml:space="preserve"> vadītāj</w:t>
            </w:r>
            <w:r w:rsidR="00DD0BB2">
              <w:rPr>
                <w:b/>
                <w:bCs/>
                <w:shd w:val="clear" w:color="auto" w:fill="FFFFFF"/>
              </w:rPr>
              <w:t>s</w:t>
            </w:r>
            <w:r w:rsidR="009504DA">
              <w:rPr>
                <w:b/>
                <w:bCs/>
                <w:shd w:val="clear" w:color="auto" w:fill="FFFFFF"/>
              </w:rPr>
              <w:t xml:space="preserve"> </w:t>
            </w:r>
            <w:r w:rsidR="009504DA" w:rsidRPr="009504DA">
              <w:rPr>
                <w:bCs/>
                <w:shd w:val="clear" w:color="auto" w:fill="FFFFFF"/>
              </w:rPr>
              <w:t>ar</w:t>
            </w:r>
            <w:r w:rsidR="009504DA">
              <w:rPr>
                <w:bCs/>
                <w:shd w:val="clear" w:color="auto" w:fill="FFFFFF"/>
              </w:rPr>
              <w:t xml:space="preserve"> pieredzi</w:t>
            </w:r>
            <w:r w:rsidR="009504DA" w:rsidRPr="00DC6BF3">
              <w:rPr>
                <w:shd w:val="clear" w:color="auto" w:fill="FFFFFF"/>
              </w:rPr>
              <w:t xml:space="preserve"> ir pieredze </w:t>
            </w:r>
            <w:r w:rsidR="009504DA">
              <w:rPr>
                <w:shd w:val="clear" w:color="auto" w:fill="FFFFFF"/>
              </w:rPr>
              <w:t>būvdarbu vadīšanā</w:t>
            </w:r>
            <w:r w:rsidR="009504DA" w:rsidRPr="00DC6BF3">
              <w:rPr>
                <w:shd w:val="clear" w:color="auto" w:fill="FFFFFF"/>
              </w:rPr>
              <w:t xml:space="preserve"> </w:t>
            </w:r>
            <w:r w:rsidR="009504DA">
              <w:rPr>
                <w:shd w:val="clear" w:color="auto" w:fill="FFFFFF"/>
              </w:rPr>
              <w:t xml:space="preserve">vismaz </w:t>
            </w:r>
            <w:r w:rsidR="0071634A">
              <w:rPr>
                <w:shd w:val="clear" w:color="auto" w:fill="FFFFFF"/>
              </w:rPr>
              <w:t>divos</w:t>
            </w:r>
            <w:r w:rsidR="009504DA">
              <w:rPr>
                <w:shd w:val="clear" w:color="auto" w:fill="FFFFFF"/>
              </w:rPr>
              <w:t xml:space="preserve"> objektos pēdējo</w:t>
            </w:r>
            <w:r w:rsidR="009504DA" w:rsidRPr="00DC6BF3">
              <w:rPr>
                <w:shd w:val="clear" w:color="auto" w:fill="FFFFFF"/>
              </w:rPr>
              <w:t xml:space="preserve"> piecu gadu laikā</w:t>
            </w:r>
            <w:r w:rsidR="009504DA">
              <w:rPr>
                <w:shd w:val="clear" w:color="auto" w:fill="FFFFFF"/>
              </w:rPr>
              <w:t>.</w:t>
            </w:r>
          </w:p>
          <w:p w:rsidR="009504DA" w:rsidRDefault="009504DA" w:rsidP="00DD0BB2">
            <w:pPr>
              <w:pStyle w:val="BodyTextIndent"/>
              <w:spacing w:after="0"/>
              <w:ind w:left="0" w:firstLine="363"/>
              <w:jc w:val="both"/>
              <w:rPr>
                <w:b/>
                <w:bCs/>
                <w:shd w:val="clear" w:color="auto" w:fill="FFFFFF"/>
              </w:rPr>
            </w:pPr>
          </w:p>
          <w:p w:rsidR="00BD70C6" w:rsidRPr="00DC6BF3" w:rsidRDefault="00BD70C6" w:rsidP="00DD0BB2">
            <w:pPr>
              <w:pStyle w:val="BodyTextIndent"/>
              <w:spacing w:after="0"/>
              <w:ind w:left="0" w:firstLine="363"/>
              <w:jc w:val="both"/>
              <w:rPr>
                <w:shd w:val="clear" w:color="auto" w:fill="FFFFFF"/>
              </w:rPr>
            </w:pPr>
            <w:r w:rsidRPr="00DC6BF3">
              <w:rPr>
                <w:shd w:val="clear" w:color="auto" w:fill="FFFFFF"/>
              </w:rPr>
              <w:t>Ārvalstu pretendenta personāla kvalifikācijai jāatbilst speciālista reģistrācijas valsts prasībām noteiktu pakalpojumu sniegšanai.</w:t>
            </w:r>
          </w:p>
          <w:p w:rsidR="00BD70C6" w:rsidRPr="00DC6BF3" w:rsidRDefault="00BD70C6" w:rsidP="00BD70C6">
            <w:pPr>
              <w:ind w:right="-58" w:firstLine="363"/>
              <w:jc w:val="both"/>
            </w:pPr>
          </w:p>
          <w:p w:rsidR="00BD70C6" w:rsidRPr="00DC6BF3" w:rsidRDefault="00BD70C6" w:rsidP="00BD70C6">
            <w:pPr>
              <w:ind w:firstLine="363"/>
              <w:jc w:val="both"/>
              <w:rPr>
                <w:b/>
                <w:lang w:eastAsia="en-US"/>
              </w:rPr>
            </w:pPr>
            <w:r w:rsidRPr="00F94E72">
              <w:rPr>
                <w:lang w:eastAsia="en-US"/>
              </w:rPr>
              <w:t>Līguma slēgšanas gadījumā jābūt nozīmētam būvprojekta vadītājam ar attiecīgo pieredzi un viņam jābūt nodarbinātam pie pretendenta.</w:t>
            </w:r>
          </w:p>
        </w:tc>
        <w:tc>
          <w:tcPr>
            <w:tcW w:w="4536" w:type="dxa"/>
          </w:tcPr>
          <w:p w:rsidR="00BD70C6" w:rsidRPr="00DC6BF3" w:rsidRDefault="00BD70C6" w:rsidP="00BD70C6">
            <w:pPr>
              <w:pStyle w:val="Paragrfs"/>
              <w:numPr>
                <w:ilvl w:val="0"/>
                <w:numId w:val="0"/>
              </w:numPr>
              <w:ind w:firstLine="335"/>
              <w:rPr>
                <w:rFonts w:ascii="Times New Roman" w:hAnsi="Times New Roman"/>
                <w:sz w:val="22"/>
                <w:shd w:val="clear" w:color="auto" w:fill="FFFFFF"/>
              </w:rPr>
            </w:pPr>
            <w:r w:rsidRPr="00DC6BF3">
              <w:rPr>
                <w:rFonts w:ascii="Times New Roman" w:hAnsi="Times New Roman"/>
                <w:sz w:val="22"/>
                <w:shd w:val="clear" w:color="auto" w:fill="FFFFFF"/>
              </w:rPr>
              <w:lastRenderedPageBreak/>
              <w:t xml:space="preserve">Pretendents iesniedz informāciju atbilstoši nolikumam pievienotai veidnei </w:t>
            </w:r>
            <w:r w:rsidRPr="00753BF9">
              <w:rPr>
                <w:rFonts w:ascii="Times New Roman" w:hAnsi="Times New Roman"/>
                <w:sz w:val="22"/>
              </w:rPr>
              <w:t>(</w:t>
            </w:r>
            <w:proofErr w:type="spellStart"/>
            <w:r w:rsidRPr="00753BF9">
              <w:rPr>
                <w:rFonts w:ascii="Times New Roman" w:hAnsi="Times New Roman"/>
                <w:sz w:val="22"/>
              </w:rPr>
              <w:t>4.pielikums</w:t>
            </w:r>
            <w:proofErr w:type="spellEnd"/>
            <w:r w:rsidRPr="00753BF9">
              <w:rPr>
                <w:rFonts w:ascii="Times New Roman" w:hAnsi="Times New Roman"/>
                <w:sz w:val="22"/>
              </w:rPr>
              <w:t>).</w:t>
            </w:r>
          </w:p>
          <w:p w:rsidR="00BD70C6" w:rsidRPr="00DC6BF3" w:rsidRDefault="00BD70C6" w:rsidP="00BD70C6">
            <w:pPr>
              <w:ind w:firstLine="335"/>
              <w:jc w:val="both"/>
            </w:pPr>
            <w:r w:rsidRPr="00DC6BF3">
              <w:t xml:space="preserve">Latvijas Republikā sertificētu speciālistu reģistrācijas fakts </w:t>
            </w:r>
            <w:r w:rsidRPr="00DC6BF3">
              <w:rPr>
                <w:bCs/>
              </w:rPr>
              <w:t xml:space="preserve">tiks pārbaudīts publiski pieejamā Būvniecības informācijas sistēmas </w:t>
            </w:r>
            <w:proofErr w:type="spellStart"/>
            <w:r w:rsidRPr="00DC6BF3">
              <w:rPr>
                <w:bCs/>
              </w:rPr>
              <w:lastRenderedPageBreak/>
              <w:t>būvspeciālistu</w:t>
            </w:r>
            <w:proofErr w:type="spellEnd"/>
            <w:r w:rsidRPr="00DC6BF3">
              <w:rPr>
                <w:bCs/>
              </w:rPr>
              <w:t xml:space="preserve"> reģistrā  </w:t>
            </w:r>
            <w:hyperlink r:id="rId16"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BD70C6" w:rsidRPr="00DC6BF3" w:rsidRDefault="00BD70C6" w:rsidP="00BD70C6">
            <w:pPr>
              <w:ind w:firstLine="335"/>
              <w:jc w:val="both"/>
            </w:pPr>
            <w:r w:rsidRPr="00DC6BF3">
              <w:t>Ārvalstu pretendenta personāla kvalifikācijai jāatbilst speciālista reģistrācijas valsts prasībām noteiktu pakalpojumu sniegšanai (sniedzot par to attiecīgus pierādījumus).</w:t>
            </w:r>
          </w:p>
          <w:p w:rsidR="00BD70C6" w:rsidRPr="00DC6BF3" w:rsidRDefault="00BD70C6" w:rsidP="00BD70C6">
            <w:pPr>
              <w:ind w:firstLine="335"/>
              <w:jc w:val="both"/>
            </w:pPr>
            <w:r w:rsidRPr="00F94E72">
              <w:t xml:space="preserve">Ja Pretendents piedāvājuma iesniegšanas brīdī nenodarbina attiecīgo darbu izpildei nepieciešamo </w:t>
            </w:r>
            <w:proofErr w:type="spellStart"/>
            <w:r w:rsidRPr="00F94E72">
              <w:t>būvspeciālistu</w:t>
            </w:r>
            <w:proofErr w:type="spellEnd"/>
            <w:r w:rsidRPr="00F94E72">
              <w:t>,</w:t>
            </w:r>
            <w:r w:rsidRPr="00DC6BF3">
              <w:t xml:space="preserve"> piedāvājumam pievienojams starp komersantu kā potenciālo darba devēju un speciālistu kā potenciālo darba ņēmēju noslēgts priekšlīgums (skat.</w:t>
            </w:r>
            <w:r>
              <w:t xml:space="preserve"> </w:t>
            </w:r>
            <w:r w:rsidRPr="00DC6BF3">
              <w:t xml:space="preserve">Civillikuma </w:t>
            </w:r>
            <w:proofErr w:type="spellStart"/>
            <w:r w:rsidRPr="00DC6BF3">
              <w:t>1541.pantu</w:t>
            </w:r>
            <w:proofErr w:type="spellEnd"/>
            <w:r w:rsidRPr="00DC6BF3">
              <w:t xml:space="preserve">). </w:t>
            </w:r>
          </w:p>
          <w:p w:rsidR="00BD70C6" w:rsidRPr="00DC6BF3" w:rsidRDefault="00BD70C6" w:rsidP="00BD70C6">
            <w:pPr>
              <w:ind w:firstLine="335"/>
              <w:jc w:val="both"/>
            </w:pPr>
            <w:r w:rsidRPr="00DC6BF3">
              <w:t xml:space="preserve">Minētais dokuments apliecinātu, ka gadījumā, ja būvkomersants tiks atzīts par uzvarētāju iepirkumā, tas noslēgs </w:t>
            </w:r>
            <w:r w:rsidRPr="00DC6BF3">
              <w:rPr>
                <w:u w:val="single"/>
              </w:rPr>
              <w:t>darba līgumu</w:t>
            </w:r>
            <w:r w:rsidRPr="00DC6BF3">
              <w:t xml:space="preserve"> ar speciālistu, lai nodrošinātu attiecīgo darbu izpildi.</w:t>
            </w:r>
          </w:p>
          <w:p w:rsidR="00BD70C6" w:rsidRPr="00DC6BF3" w:rsidRDefault="00BD70C6" w:rsidP="00BD70C6">
            <w:pPr>
              <w:ind w:firstLine="335"/>
              <w:jc w:val="both"/>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lastRenderedPageBreak/>
              <w:t>6</w:t>
            </w:r>
            <w:r w:rsidR="00BD70C6" w:rsidRPr="00DC6BF3">
              <w:rPr>
                <w:lang w:eastAsia="en-US"/>
              </w:rPr>
              <w:t>.</w:t>
            </w:r>
            <w:r w:rsidR="009504DA">
              <w:rPr>
                <w:lang w:eastAsia="en-US"/>
              </w:rPr>
              <w:t>8</w:t>
            </w:r>
            <w:r w:rsidR="00BD70C6" w:rsidRPr="00DC6BF3">
              <w:rPr>
                <w:lang w:eastAsia="en-US"/>
              </w:rPr>
              <w:t>.</w:t>
            </w:r>
          </w:p>
        </w:tc>
        <w:tc>
          <w:tcPr>
            <w:tcW w:w="3969" w:type="dxa"/>
          </w:tcPr>
          <w:p w:rsidR="00BD70C6" w:rsidRPr="00DC6BF3" w:rsidRDefault="00BD70C6" w:rsidP="00BD70C6">
            <w:pPr>
              <w:ind w:firstLine="363"/>
              <w:jc w:val="both"/>
              <w:rPr>
                <w:shd w:val="clear" w:color="auto" w:fill="FFFFFF"/>
              </w:rPr>
            </w:pPr>
            <w:r w:rsidRPr="008F7A76">
              <w:rPr>
                <w:shd w:val="clear" w:color="auto" w:fill="FFFFFF"/>
              </w:rPr>
              <w:t>Pretendent</w:t>
            </w:r>
            <w:r w:rsidR="000716D0">
              <w:rPr>
                <w:shd w:val="clear" w:color="auto" w:fill="FFFFFF"/>
              </w:rPr>
              <w:t>s apdrošina savas</w:t>
            </w:r>
            <w:r w:rsidRPr="008F7A76">
              <w:rPr>
                <w:shd w:val="clear" w:color="auto" w:fill="FFFFFF"/>
              </w:rPr>
              <w:t xml:space="preserve"> darbība</w:t>
            </w:r>
            <w:r w:rsidR="000716D0">
              <w:rPr>
                <w:shd w:val="clear" w:color="auto" w:fill="FFFFFF"/>
              </w:rPr>
              <w:t>s</w:t>
            </w:r>
            <w:r w:rsidRPr="008F7A76">
              <w:rPr>
                <w:shd w:val="clear" w:color="auto" w:fill="FFFFFF"/>
              </w:rPr>
              <w:t xml:space="preserve"> </w:t>
            </w:r>
            <w:r w:rsidR="000716D0">
              <w:rPr>
                <w:shd w:val="clear" w:color="auto" w:fill="FFFFFF"/>
              </w:rPr>
              <w:t xml:space="preserve">riskus </w:t>
            </w:r>
            <w:r w:rsidRPr="008F7A76">
              <w:rPr>
                <w:shd w:val="clear" w:color="auto" w:fill="FFFFFF"/>
              </w:rPr>
              <w:t xml:space="preserve">Līguma parakstīšanas gadījumā </w:t>
            </w:r>
          </w:p>
        </w:tc>
        <w:tc>
          <w:tcPr>
            <w:tcW w:w="4536" w:type="dxa"/>
          </w:tcPr>
          <w:p w:rsidR="00BD70C6" w:rsidRDefault="00BD70C6" w:rsidP="00BD70C6">
            <w:pPr>
              <w:pStyle w:val="BodyTextIndent"/>
              <w:spacing w:after="0"/>
              <w:ind w:left="34" w:firstLine="335"/>
              <w:jc w:val="both"/>
            </w:pP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p w:rsidR="00BD70C6" w:rsidRPr="00DC6BF3" w:rsidRDefault="00825B16" w:rsidP="009504DA">
            <w:pPr>
              <w:pStyle w:val="BodyTextIndent"/>
              <w:spacing w:after="0"/>
              <w:ind w:left="34" w:firstLine="335"/>
              <w:jc w:val="both"/>
              <w:rPr>
                <w:shd w:val="clear" w:color="auto" w:fill="FFFFFF"/>
              </w:rPr>
            </w:pPr>
            <w:r>
              <w:t xml:space="preserve">Pretendents brīvā formā apliecina, ka līguma noslēgšanas gadījumā ir gatavs iesniegt </w:t>
            </w:r>
            <w:r w:rsidR="009504DA">
              <w:t>garantijas remontu</w:t>
            </w:r>
            <w:r>
              <w:t xml:space="preserve"> izpildes nodrošinājumu 10 (desmit) procentu apmērā no līguma cenas</w:t>
            </w:r>
            <w:r w:rsidR="009504DA">
              <w:t>.</w:t>
            </w: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sidRPr="00DC6BF3">
              <w:rPr>
                <w:lang w:eastAsia="en-US"/>
              </w:rPr>
              <w:t>.</w:t>
            </w:r>
            <w:r w:rsidR="009504DA">
              <w:rPr>
                <w:lang w:eastAsia="en-US"/>
              </w:rPr>
              <w:t>9</w:t>
            </w:r>
            <w:r w:rsidR="00BD70C6" w:rsidRPr="00DC6BF3">
              <w:rPr>
                <w:lang w:eastAsia="en-US"/>
              </w:rPr>
              <w:t>.</w:t>
            </w:r>
          </w:p>
        </w:tc>
        <w:tc>
          <w:tcPr>
            <w:tcW w:w="3969" w:type="dxa"/>
          </w:tcPr>
          <w:p w:rsidR="00BD70C6" w:rsidRPr="00DC6BF3" w:rsidRDefault="00BD70C6" w:rsidP="00BD70C6">
            <w:pPr>
              <w:ind w:firstLine="363"/>
              <w:jc w:val="both"/>
              <w:rPr>
                <w:shd w:val="clear" w:color="auto" w:fill="FFFFFF"/>
              </w:rPr>
            </w:pPr>
            <w:r w:rsidRPr="00DC6BF3">
              <w:rPr>
                <w:shd w:val="clear" w:color="auto" w:fill="FFFFFF"/>
              </w:rPr>
              <w:t xml:space="preserve">Pretendents </w:t>
            </w:r>
            <w:r w:rsidR="00825B16">
              <w:rPr>
                <w:shd w:val="clear" w:color="auto" w:fill="FFFFFF"/>
              </w:rPr>
              <w:t>var</w:t>
            </w:r>
            <w:r w:rsidRPr="00DC6BF3">
              <w:rPr>
                <w:shd w:val="clear" w:color="auto" w:fill="FFFFFF"/>
              </w:rPr>
              <w:t xml:space="preserve"> piesaistīt apakšuzņēmējus vai balstīties uz citu personu spējām</w:t>
            </w:r>
            <w:r w:rsidR="00A44FE2">
              <w:rPr>
                <w:shd w:val="clear" w:color="auto" w:fill="FFFFFF"/>
              </w:rPr>
              <w:t>.</w:t>
            </w:r>
            <w:r w:rsidRPr="00DC6BF3">
              <w:rPr>
                <w:shd w:val="clear" w:color="auto" w:fill="FFFFFF"/>
              </w:rPr>
              <w:t xml:space="preserve"> </w:t>
            </w:r>
          </w:p>
        </w:tc>
        <w:tc>
          <w:tcPr>
            <w:tcW w:w="4536" w:type="dxa"/>
          </w:tcPr>
          <w:p w:rsidR="00BD70C6" w:rsidRPr="00DC6BF3" w:rsidRDefault="00BD70C6" w:rsidP="00BD70C6">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sidR="00A44FE2">
              <w:rPr>
                <w:shd w:val="clear" w:color="auto" w:fill="FFFFFF"/>
              </w:rPr>
              <w:t xml:space="preserve">nolikuma </w:t>
            </w:r>
            <w:proofErr w:type="spellStart"/>
            <w:r w:rsidR="00F5644A">
              <w:rPr>
                <w:shd w:val="clear" w:color="auto" w:fill="FFFFFF"/>
              </w:rPr>
              <w:t>1</w:t>
            </w:r>
            <w:r w:rsidR="00A44FE2">
              <w:rPr>
                <w:shd w:val="clear" w:color="auto" w:fill="FFFFFF"/>
              </w:rPr>
              <w:t>.pielikumā</w:t>
            </w:r>
            <w:proofErr w:type="spellEnd"/>
            <w:r w:rsidR="00A44FE2">
              <w:rPr>
                <w:shd w:val="clear" w:color="auto" w:fill="FFFFFF"/>
              </w:rPr>
              <w:t xml:space="preserve"> </w:t>
            </w:r>
            <w:r w:rsidR="0096180E">
              <w:rPr>
                <w:shd w:val="clear" w:color="auto" w:fill="FFFFFF"/>
              </w:rPr>
              <w:t>noteiktajam</w:t>
            </w:r>
            <w:r w:rsidR="00A44FE2">
              <w:rPr>
                <w:shd w:val="clear" w:color="auto" w:fill="FFFFFF"/>
              </w:rPr>
              <w:t xml:space="preserve"> un detalizēti papildina to </w:t>
            </w:r>
            <w:r w:rsidRPr="00DC6BF3">
              <w:rPr>
                <w:shd w:val="clear" w:color="auto" w:fill="FFFFFF"/>
              </w:rPr>
              <w:t>nolikumam pievienota</w:t>
            </w:r>
            <w:r w:rsidR="00A90889">
              <w:rPr>
                <w:shd w:val="clear" w:color="auto" w:fill="FFFFFF"/>
              </w:rPr>
              <w:t>jā</w:t>
            </w:r>
            <w:r w:rsidRPr="00DC6BF3">
              <w:rPr>
                <w:shd w:val="clear" w:color="auto" w:fill="FFFFFF"/>
              </w:rPr>
              <w:t xml:space="preserve"> veidn</w:t>
            </w:r>
            <w:r w:rsidR="00A44FE2">
              <w:rPr>
                <w:shd w:val="clear" w:color="auto" w:fill="FFFFFF"/>
              </w:rPr>
              <w:t>ē</w:t>
            </w:r>
            <w:r w:rsidRPr="00DC6BF3">
              <w:rPr>
                <w:shd w:val="clear" w:color="auto" w:fill="FFFFFF"/>
              </w:rPr>
              <w:t xml:space="preserve"> (</w:t>
            </w:r>
            <w:proofErr w:type="spellStart"/>
            <w:r w:rsidR="00A44FE2">
              <w:rPr>
                <w:shd w:val="clear" w:color="auto" w:fill="FFFFFF"/>
              </w:rPr>
              <w:t>5</w:t>
            </w:r>
            <w:r w:rsidRPr="00DC6BF3">
              <w:rPr>
                <w:shd w:val="clear" w:color="auto" w:fill="FFFFFF"/>
              </w:rPr>
              <w:t>.pielikums</w:t>
            </w:r>
            <w:proofErr w:type="spellEnd"/>
            <w:r w:rsidRPr="00DC6BF3">
              <w:rPr>
                <w:shd w:val="clear" w:color="auto" w:fill="FFFFFF"/>
              </w:rPr>
              <w:t>)</w:t>
            </w:r>
            <w:r w:rsidR="00DB7AA8">
              <w:rPr>
                <w:shd w:val="clear" w:color="auto" w:fill="FFFFFF"/>
              </w:rPr>
              <w:t xml:space="preserve"> un tā apliecinājumu (</w:t>
            </w:r>
            <w:proofErr w:type="spellStart"/>
            <w:r w:rsidR="00DB7AA8">
              <w:rPr>
                <w:shd w:val="clear" w:color="auto" w:fill="FFFFFF"/>
              </w:rPr>
              <w:t>6.pielikums</w:t>
            </w:r>
            <w:proofErr w:type="spellEnd"/>
            <w:r w:rsidR="00DB7AA8">
              <w:rPr>
                <w:shd w:val="clear" w:color="auto" w:fill="FFFFFF"/>
              </w:rPr>
              <w:t>).</w:t>
            </w:r>
          </w:p>
        </w:tc>
      </w:tr>
    </w:tbl>
    <w:p w:rsidR="00DA0289" w:rsidRDefault="0071634A" w:rsidP="0071170A">
      <w:pPr>
        <w:widowControl w:val="0"/>
        <w:spacing w:before="120"/>
        <w:jc w:val="both"/>
        <w:rPr>
          <w:bCs/>
          <w:snapToGrid w:val="0"/>
          <w:sz w:val="22"/>
          <w:szCs w:val="22"/>
        </w:rPr>
      </w:pPr>
      <w:r>
        <w:rPr>
          <w:bCs/>
          <w:snapToGrid w:val="0"/>
          <w:sz w:val="22"/>
          <w:szCs w:val="22"/>
        </w:rPr>
        <w:t>6</w:t>
      </w:r>
      <w:r w:rsidR="00E56BDF">
        <w:rPr>
          <w:bCs/>
          <w:snapToGrid w:val="0"/>
          <w:sz w:val="22"/>
          <w:szCs w:val="22"/>
        </w:rPr>
        <w:t xml:space="preserve">.10. Ja pretendents vēlas apskatīt Objektu klātienē, tas sazinās ar Līguma </w:t>
      </w:r>
      <w:proofErr w:type="spellStart"/>
      <w:r w:rsidR="00E56BDF">
        <w:rPr>
          <w:bCs/>
          <w:snapToGrid w:val="0"/>
          <w:sz w:val="22"/>
          <w:szCs w:val="22"/>
        </w:rPr>
        <w:t>1.4.2.punktā</w:t>
      </w:r>
      <w:proofErr w:type="spellEnd"/>
      <w:r w:rsidR="00E56BDF">
        <w:rPr>
          <w:bCs/>
          <w:snapToGrid w:val="0"/>
          <w:sz w:val="22"/>
          <w:szCs w:val="22"/>
        </w:rPr>
        <w:t xml:space="preserve"> minēto Pasūtītāja pārstāvi</w:t>
      </w:r>
      <w:r>
        <w:rPr>
          <w:bCs/>
          <w:snapToGrid w:val="0"/>
          <w:sz w:val="22"/>
          <w:szCs w:val="22"/>
        </w:rPr>
        <w:t>.</w:t>
      </w:r>
    </w:p>
    <w:p w:rsidR="00E56BDF" w:rsidRPr="00DC6BF3" w:rsidRDefault="00E56BDF"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9" w:name="_Hlk5010469"/>
      <w:r w:rsidRPr="00630FC3">
        <w:rPr>
          <w:b/>
        </w:rPr>
        <w:t>Pretendentu izslēgšanas nosacījumi</w:t>
      </w:r>
    </w:p>
    <w:bookmarkEnd w:id="9"/>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lastRenderedPageBreak/>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F94E72">
      <w:pPr>
        <w:numPr>
          <w:ilvl w:val="1"/>
          <w:numId w:val="5"/>
        </w:numPr>
        <w:ind w:left="0" w:firstLine="0"/>
        <w:jc w:val="both"/>
      </w:pPr>
      <w:r w:rsidRPr="009C2684">
        <w:t xml:space="preserve">Gadījumā, ja tiek konstatēts, ka </w:t>
      </w:r>
      <w:r w:rsidRPr="009C2684">
        <w:rPr>
          <w:shd w:val="clear" w:color="auto" w:fill="FFFFFF"/>
        </w:rPr>
        <w:t>apakšuzņēmējs, kura veicamo būvdarbu vai sniedzamo pakalpojumu vērtība ir vismaz 10 procenti no kopējās līguma vērtības vai</w:t>
      </w:r>
      <w:r w:rsidRPr="009C2684">
        <w:t xml:space="preserve"> personai, uz kuras iespējām </w:t>
      </w:r>
      <w:r w:rsidR="00066DB0">
        <w:t>p</w:t>
      </w:r>
      <w:r w:rsidRPr="009C2684">
        <w:t xml:space="preserve">retendents balstās, ir pasludināts maksātnespējas process, apturēta tā saimnieciskā darbība vai tas tiek likvidēts, Pasūtītājs rīkojas pēc analoģijas ar </w:t>
      </w:r>
      <w:r w:rsidR="00720F2B">
        <w:t>Publisko iepirkumu likumā noteikto kārtību.</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proofErr w:type="spellStart"/>
      <w:r w:rsidR="00293F3A">
        <w:rPr>
          <w:rFonts w:ascii="Times New Roman" w:hAnsi="Times New Roman" w:cs="Times New Roman"/>
          <w:color w:val="auto"/>
          <w:sz w:val="24"/>
          <w:szCs w:val="24"/>
        </w:rPr>
        <w:t>šados</w:t>
      </w:r>
      <w:proofErr w:type="spellEnd"/>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10" w:name="_Toc61530677"/>
      <w:bookmarkStart w:id="11" w:name="_Toc61636418"/>
      <w:bookmarkStart w:id="12" w:name="_Toc61530678"/>
      <w:bookmarkStart w:id="13" w:name="_Toc61636419"/>
      <w:bookmarkStart w:id="14" w:name="_Toc61530679"/>
      <w:bookmarkStart w:id="15" w:name="_Toc61636420"/>
      <w:bookmarkEnd w:id="10"/>
      <w:bookmarkEnd w:id="11"/>
      <w:bookmarkEnd w:id="12"/>
      <w:bookmarkEnd w:id="13"/>
      <w:bookmarkEnd w:id="14"/>
      <w:bookmarkEnd w:id="15"/>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BE727A">
        <w:t>6</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71634A">
        <w:t>7</w:t>
      </w:r>
      <w:r w:rsidR="00BE727A" w:rsidRPr="00BE727A">
        <w:t>.punktā</w:t>
      </w:r>
      <w:proofErr w:type="spellEnd"/>
      <w:r w:rsidR="00BE727A" w:rsidRPr="00BE727A">
        <w:t xml:space="preserve"> minēto izslēgšanas nosacījumu</w:t>
      </w:r>
      <w:r w:rsidR="00BE727A">
        <w:t xml:space="preserve"> esību.</w:t>
      </w:r>
    </w:p>
    <w:p w:rsidR="00BB0419" w:rsidRPr="00BB0419" w:rsidRDefault="00BB0419" w:rsidP="00BB0419">
      <w:pPr>
        <w:pStyle w:val="BodyText"/>
        <w:keepNext/>
        <w:numPr>
          <w:ilvl w:val="2"/>
          <w:numId w:val="5"/>
        </w:numPr>
        <w:tabs>
          <w:tab w:val="num" w:pos="4123"/>
        </w:tabs>
        <w:spacing w:after="0"/>
        <w:ind w:left="1276" w:hanging="709"/>
        <w:jc w:val="both"/>
      </w:pPr>
      <w:r w:rsidRPr="00BE727A">
        <w:rPr>
          <w:bCs/>
          <w:u w:val="single"/>
        </w:rPr>
        <w:t xml:space="preserve">2. posms – Finanšu </w:t>
      </w:r>
      <w:r w:rsidR="006B6EF2">
        <w:rPr>
          <w:bCs/>
          <w:u w:val="single"/>
        </w:rPr>
        <w:t xml:space="preserve">un darba izpildes </w:t>
      </w:r>
      <w:r w:rsidRPr="00BE727A">
        <w:rPr>
          <w:bCs/>
          <w:u w:val="single"/>
        </w:rPr>
        <w:t>piedāvājumu atbilstības pārbaude:</w:t>
      </w:r>
      <w:r w:rsidR="00BE727A" w:rsidRPr="00BE727A">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p>
    <w:p w:rsidR="00BB0419" w:rsidRPr="008934CC" w:rsidRDefault="00293F3A" w:rsidP="00BB0419">
      <w:pPr>
        <w:pStyle w:val="BodyText"/>
        <w:numPr>
          <w:ilvl w:val="2"/>
          <w:numId w:val="5"/>
        </w:numPr>
        <w:spacing w:after="0"/>
        <w:ind w:left="1276" w:hanging="709"/>
        <w:jc w:val="both"/>
        <w:rPr>
          <w:u w:val="single"/>
        </w:rPr>
      </w:pPr>
      <w:r>
        <w:rPr>
          <w:bCs/>
          <w:u w:val="single"/>
        </w:rPr>
        <w:t>3</w:t>
      </w:r>
      <w:r w:rsidR="00BB0419" w:rsidRPr="008934CC">
        <w:rPr>
          <w:bCs/>
          <w:u w:val="single"/>
        </w:rPr>
        <w:t>. posms – Pretendent</w:t>
      </w:r>
      <w:r>
        <w:rPr>
          <w:bCs/>
          <w:u w:val="single"/>
        </w:rPr>
        <w:t>u</w:t>
      </w:r>
      <w:r w:rsidR="00BB0419" w:rsidRPr="008934CC">
        <w:rPr>
          <w:bCs/>
          <w:u w:val="single"/>
        </w:rPr>
        <w:t xml:space="preserve"> atlase</w:t>
      </w:r>
      <w:r w:rsidR="00BB0419" w:rsidRPr="008934CC">
        <w:rPr>
          <w:u w:val="single"/>
        </w:rPr>
        <w:t xml:space="preserve"> </w:t>
      </w:r>
    </w:p>
    <w:p w:rsidR="00BB0419" w:rsidRPr="00BB0419" w:rsidRDefault="00BB0419" w:rsidP="00BB0419">
      <w:pPr>
        <w:pStyle w:val="BodyText"/>
        <w:spacing w:after="0"/>
        <w:ind w:left="1276"/>
        <w:jc w:val="both"/>
      </w:pPr>
      <w:r w:rsidRPr="00BB0419">
        <w:t xml:space="preserve">Komisija </w:t>
      </w:r>
      <w:r w:rsidR="005C4AA7">
        <w:t>vērtē</w:t>
      </w:r>
      <w:r w:rsidR="005C4AA7" w:rsidRPr="00BB0419">
        <w:t xml:space="preserve"> atbilstību nolikuma </w:t>
      </w:r>
      <w:r w:rsidR="0071634A">
        <w:t>6</w:t>
      </w:r>
      <w:r w:rsidR="005C4AA7" w:rsidRPr="00BB0419">
        <w:t xml:space="preserve">.1. </w:t>
      </w:r>
      <w:r w:rsidR="005C4AA7" w:rsidRPr="00BB0419">
        <w:rPr>
          <w:bCs/>
        </w:rPr>
        <w:t xml:space="preserve">– </w:t>
      </w:r>
      <w:r w:rsidR="0071634A">
        <w:t>6.</w:t>
      </w:r>
      <w:r w:rsidR="005C4AA7">
        <w:t>9</w:t>
      </w:r>
      <w:r w:rsidR="005C4AA7" w:rsidRPr="00BB0419">
        <w:t>.</w:t>
      </w:r>
      <w:r w:rsidR="0071634A">
        <w:t xml:space="preserve"> </w:t>
      </w:r>
      <w:r w:rsidR="005C4AA7" w:rsidRPr="00BB0419">
        <w:t>punktos norādītajām prasībām</w:t>
      </w:r>
      <w:r w:rsidR="005C4AA7">
        <w:t xml:space="preserve"> tikai tam Pretendentam, kas atbilst saimnieciski izdevīgākajam nosacījumam</w:t>
      </w:r>
      <w:r w:rsidR="008934CC">
        <w:t xml:space="preserve"> un kam būtu piešķiramas līguma slēgšanas tiesības.</w:t>
      </w:r>
      <w:r w:rsidR="00E93641">
        <w:t xml:space="preserve"> </w:t>
      </w:r>
    </w:p>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6322AC" w:rsidP="006322AC">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2437A4"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F5644A">
        <w:rPr>
          <w:rFonts w:ascii="Times New Roman" w:hAnsi="Times New Roman" w:cs="Times New Roman"/>
          <w:b/>
          <w:color w:val="auto"/>
          <w:sz w:val="24"/>
          <w:szCs w:val="24"/>
        </w:rPr>
        <w:t>piedāvājumu ar zemāko cenu</w:t>
      </w:r>
      <w:r w:rsidR="002437A4" w:rsidRPr="002437A4">
        <w:rPr>
          <w:rFonts w:ascii="Times New Roman" w:hAnsi="Times New Roman" w:cs="Times New Roman"/>
          <w:color w:val="auto"/>
          <w:sz w:val="24"/>
          <w:szCs w:val="24"/>
        </w:rPr>
        <w:t>.</w:t>
      </w:r>
    </w:p>
    <w:p w:rsidR="006322AC" w:rsidRDefault="006322AC" w:rsidP="00537B5F">
      <w:pPr>
        <w:pStyle w:val="ListParagraph"/>
        <w:numPr>
          <w:ilvl w:val="1"/>
          <w:numId w:val="5"/>
        </w:numPr>
        <w:ind w:left="0" w:firstLine="0"/>
        <w:jc w:val="both"/>
      </w:pPr>
      <w:r>
        <w:t xml:space="preserve"> Ja Pretendents, kam piešķirtas līguma slēgšanas tiesības</w:t>
      </w:r>
      <w:r w:rsidR="00537B5F">
        <w:t xml:space="preserve">, neatkarīgi no iemesla, vienpusēji pārtrauc līguma slēgšanas sarunas vai nenoslēdz līgumu, tiek vērtēts nākamais pretendents ar zemāko cenu un </w:t>
      </w:r>
      <w:r w:rsidR="00537B5F" w:rsidRPr="002437A4">
        <w:t>pieņem lēmumu par līguma slēgšanas tiesību piešķiršanu</w:t>
      </w:r>
      <w:r w:rsidR="00537B5F">
        <w:t>.</w:t>
      </w:r>
    </w:p>
    <w:p w:rsidR="00537B5F" w:rsidRPr="006322AC" w:rsidRDefault="00537B5F" w:rsidP="00537B5F">
      <w:pPr>
        <w:pStyle w:val="ListParagraph"/>
        <w:numPr>
          <w:ilvl w:val="1"/>
          <w:numId w:val="5"/>
        </w:numPr>
        <w:ind w:left="0" w:firstLine="0"/>
        <w:jc w:val="both"/>
      </w:pPr>
      <w:r>
        <w:t xml:space="preserve">Ja ar </w:t>
      </w:r>
      <w:proofErr w:type="spellStart"/>
      <w:r>
        <w:t>8.7.punktā</w:t>
      </w:r>
      <w:proofErr w:type="spellEnd"/>
      <w:r>
        <w:t xml:space="preserve"> minēto pretendentu, neatkarīgi no iemesliem, netiek noslēgt slīgums, cenu aptauja tiek uzskatīta par nenotikušu.</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8934CC" w:rsidP="008934CC">
      <w:pPr>
        <w:pStyle w:val="ListParagraph"/>
        <w:numPr>
          <w:ilvl w:val="1"/>
          <w:numId w:val="5"/>
        </w:numPr>
        <w:ind w:left="0" w:firstLine="0"/>
        <w:jc w:val="both"/>
      </w:pPr>
      <w:r w:rsidRPr="009C2684">
        <w:t xml:space="preserve">Iepirkuma rezultātā paredzēts noslēgt iepirkuma līgumu saskaņā ar tā projektu, kurš pievienots </w:t>
      </w:r>
      <w:r w:rsidRPr="008934CC">
        <w:t xml:space="preserve">nolikuma </w:t>
      </w:r>
      <w:proofErr w:type="spellStart"/>
      <w:r w:rsidR="00537B5F">
        <w:t>7</w:t>
      </w:r>
      <w:r w:rsidRPr="00720F2B">
        <w:t>.pielikumā</w:t>
      </w:r>
      <w:proofErr w:type="spellEnd"/>
      <w:r w:rsidRPr="00720F2B">
        <w:t>,</w:t>
      </w:r>
      <w:r w:rsidRPr="009C2684">
        <w:t xml:space="preserve"> ar 1 (vienu) Pretendentu, kura piedāvājums ar iepirkumu komisijas lēmumu tiks atzīts par atbilstošu Pasūtītāja izvirzītajām prasībām</w:t>
      </w:r>
      <w:r>
        <w:t>.</w:t>
      </w:r>
      <w:r w:rsidRPr="009C2684">
        <w:t xml:space="preserve"> </w:t>
      </w:r>
    </w:p>
    <w:p w:rsidR="00F5644A" w:rsidRDefault="00E93641" w:rsidP="008934CC">
      <w:pPr>
        <w:pStyle w:val="ListParagraph"/>
        <w:numPr>
          <w:ilvl w:val="1"/>
          <w:numId w:val="5"/>
        </w:numPr>
        <w:ind w:left="0" w:firstLine="0"/>
        <w:jc w:val="both"/>
      </w:pPr>
      <w:r>
        <w:t>Pasūtītājs un i</w:t>
      </w:r>
      <w:r w:rsidR="008934CC" w:rsidRPr="009C2684">
        <w:t>zraudzīta</w:t>
      </w:r>
      <w:r>
        <w:t>is</w:t>
      </w:r>
      <w:r w:rsidR="008934CC" w:rsidRPr="009C2684">
        <w:t xml:space="preserve"> </w:t>
      </w:r>
      <w:r w:rsidR="008934CC">
        <w:t>p</w:t>
      </w:r>
      <w:r w:rsidR="008934CC" w:rsidRPr="009C2684">
        <w:t>retenden</w:t>
      </w:r>
      <w:r>
        <w:t>ts 5  (piecu) darba dienu laikā precizē</w:t>
      </w:r>
      <w:r w:rsidR="008934CC">
        <w:t xml:space="preserve"> </w:t>
      </w:r>
      <w:r>
        <w:t>līguma projektu t.sk. par avansa apmēru</w:t>
      </w:r>
      <w:r w:rsidR="00F5644A">
        <w:t>, darbu garantijas apdrošināšanu</w:t>
      </w:r>
      <w:r>
        <w:t xml:space="preserve">. </w:t>
      </w:r>
      <w:r w:rsidR="00F5644A">
        <w:t xml:space="preserve">Pirms līguma parakstīšanas iesniedz vispārējo civiltiesisko apdrošināšanu. </w:t>
      </w:r>
    </w:p>
    <w:p w:rsidR="008934CC" w:rsidRPr="009C2684" w:rsidRDefault="00E93641" w:rsidP="008934CC">
      <w:pPr>
        <w:pStyle w:val="ListParagraph"/>
        <w:numPr>
          <w:ilvl w:val="1"/>
          <w:numId w:val="5"/>
        </w:numPr>
        <w:ind w:left="0" w:firstLine="0"/>
        <w:jc w:val="both"/>
      </w:pPr>
      <w:r>
        <w:t>Saskaņotais līgums izvēlētajam pretendentam jāparaksta</w:t>
      </w:r>
      <w:r w:rsidR="008934CC" w:rsidRPr="009C2684">
        <w:t xml:space="preserve"> </w:t>
      </w:r>
      <w:r w:rsidR="00293F3A">
        <w:t>5</w:t>
      </w:r>
      <w:r w:rsidR="008934CC" w:rsidRPr="009C2684">
        <w:t xml:space="preserve"> (</w:t>
      </w:r>
      <w:r w:rsidR="00293F3A">
        <w:t>piecu</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DA0289">
      <w:pPr>
        <w:pStyle w:val="ListParagraph"/>
        <w:numPr>
          <w:ilvl w:val="0"/>
          <w:numId w:val="5"/>
        </w:numPr>
        <w:ind w:left="567" w:hanging="567"/>
        <w:jc w:val="both"/>
        <w:rPr>
          <w:b/>
          <w:bCs/>
        </w:rPr>
      </w:pPr>
      <w:r w:rsidRPr="009C2684">
        <w:rPr>
          <w:b/>
          <w:bCs/>
        </w:rPr>
        <w:t>Pretendenta pienākumi un tiesības</w:t>
      </w:r>
    </w:p>
    <w:p w:rsidR="00DA0289" w:rsidRPr="009C2684" w:rsidRDefault="00DA0289" w:rsidP="00DA0289">
      <w:pPr>
        <w:pStyle w:val="ListParagraph"/>
        <w:numPr>
          <w:ilvl w:val="1"/>
          <w:numId w:val="5"/>
        </w:numPr>
        <w:ind w:left="567" w:hanging="567"/>
        <w:jc w:val="both"/>
      </w:pPr>
      <w:r w:rsidRPr="009C2684">
        <w:t>Pienākums iepirkuma komisijas noteiktajā termiņā sniegt atbildes uz iepirkuma komisijas pieprasījumiem par papildus informāciju.</w:t>
      </w:r>
    </w:p>
    <w:p w:rsidR="00DA0289" w:rsidRPr="009C2684" w:rsidRDefault="00DA0289" w:rsidP="00DA0289">
      <w:pPr>
        <w:pStyle w:val="ListParagraph"/>
        <w:numPr>
          <w:ilvl w:val="1"/>
          <w:numId w:val="5"/>
        </w:numPr>
        <w:ind w:left="567" w:hanging="567"/>
        <w:jc w:val="both"/>
      </w:pPr>
      <w:r w:rsidRPr="009C2684">
        <w:t>Pienākums segt visas un jebkuras izmaksas, kas saistītas ar piedāvājumu sagatavošanu un iesniegšanu neatkarīgi no iepirkuma rezultāta.</w:t>
      </w:r>
    </w:p>
    <w:p w:rsidR="00DA0289" w:rsidRPr="009C2684" w:rsidRDefault="00DA0289" w:rsidP="00DA0289">
      <w:pPr>
        <w:pStyle w:val="ListParagraph"/>
        <w:numPr>
          <w:ilvl w:val="1"/>
          <w:numId w:val="5"/>
        </w:numPr>
        <w:ind w:left="567" w:hanging="567"/>
        <w:jc w:val="both"/>
      </w:pPr>
      <w:r w:rsidRPr="009C2684">
        <w:t xml:space="preserve">Tiesības pirms piedāvājumu iesniegšanas termiņa beigām grozīt vai atsaukt iesniegto piedāvājumu. Ja </w:t>
      </w:r>
      <w:r w:rsidR="00066DB0">
        <w:t>p</w:t>
      </w:r>
      <w:r w:rsidRPr="009C2684">
        <w:t>retendents groza piedāvājumu, tas iesniedz jaunu piedāvājumu ar atzīmi “GROZĪTAIS”. Tādā gadījumā komisija vērtē grozīto piedāvājumu.</w:t>
      </w:r>
    </w:p>
    <w:p w:rsidR="00DA0289" w:rsidRPr="009C2684" w:rsidRDefault="00DA0289" w:rsidP="00DA0289">
      <w:pPr>
        <w:pStyle w:val="ListParagraph"/>
        <w:numPr>
          <w:ilvl w:val="1"/>
          <w:numId w:val="5"/>
        </w:numPr>
        <w:ind w:left="567" w:hanging="567"/>
        <w:jc w:val="both"/>
      </w:pPr>
      <w:r w:rsidRPr="009C2684">
        <w:t>Tiesības apstrīdēt iepirkuma komisijas lēmumu par iepirkuma līguma slēgšanas tiesību piešķiršanu, sūdzību iesniedzot SIA “</w:t>
      </w:r>
      <w:r w:rsidR="001C0774">
        <w:t>Ķekavas nami</w:t>
      </w:r>
      <w:r w:rsidRPr="009C2684">
        <w:t xml:space="preserve">” </w:t>
      </w:r>
      <w:r w:rsidR="00066DB0">
        <w:t>e-past</w:t>
      </w:r>
      <w:r w:rsidR="00A72B30">
        <w:t>ā</w:t>
      </w:r>
      <w:r w:rsidR="00066DB0">
        <w:t xml:space="preserve"> </w:t>
      </w:r>
      <w:hyperlink r:id="rId17" w:history="1">
        <w:proofErr w:type="spellStart"/>
        <w:r w:rsidR="00066DB0" w:rsidRPr="00305764">
          <w:rPr>
            <w:rStyle w:val="Hyperlink"/>
          </w:rPr>
          <w:t>info@kekavasnami.lv</w:t>
        </w:r>
        <w:proofErr w:type="spellEnd"/>
      </w:hyperlink>
      <w:r w:rsidR="00066DB0">
        <w:t xml:space="preserve"> </w:t>
      </w:r>
      <w:r w:rsidRPr="009C2684">
        <w:t>3</w:t>
      </w:r>
      <w:r w:rsidR="001C0774">
        <w:t xml:space="preserve"> (trīs)</w:t>
      </w:r>
      <w:r w:rsidRPr="009C2684">
        <w:t xml:space="preserve"> darba dienu laikā no rezultātu paziņošanas brīža.</w:t>
      </w:r>
    </w:p>
    <w:p w:rsidR="00DA0289" w:rsidRPr="009C2684" w:rsidRDefault="00DA0289" w:rsidP="00DA0289">
      <w:pPr>
        <w:pStyle w:val="ListParagraph"/>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t>Pasūtītājs ir tiesīgs jebkurā brīdi pārtraukt iepirkumu un neslēgt līgumu, ja tam ir objektīvs pamatojums.</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w:t>
      </w:r>
      <w:r w:rsidR="007318CA">
        <w:t>Pasūtītāja mājas lapā.</w:t>
      </w:r>
      <w:r w:rsidRPr="009C2684">
        <w:rPr>
          <w:bCs/>
          <w:iCs/>
          <w:kern w:val="28"/>
        </w:rPr>
        <w:t xml:space="preserve">.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lastRenderedPageBreak/>
        <w:t>Pielikumā:</w:t>
      </w:r>
    </w:p>
    <w:p w:rsidR="00DA0289" w:rsidRPr="009C2684" w:rsidRDefault="00DA0289" w:rsidP="00DA0289">
      <w:pPr>
        <w:jc w:val="both"/>
      </w:pPr>
      <w:proofErr w:type="spellStart"/>
      <w:r w:rsidRPr="009C2684">
        <w:t>1.pielikums</w:t>
      </w:r>
      <w:proofErr w:type="spellEnd"/>
      <w:r w:rsidRPr="009C2684">
        <w:t xml:space="preserve"> – </w:t>
      </w:r>
      <w:r w:rsidR="00F5644A" w:rsidRPr="00E70F59">
        <w:rPr>
          <w:rFonts w:eastAsia="Calibri"/>
          <w:lang w:eastAsia="en-US"/>
        </w:rPr>
        <w:t>Pieteikums un finanšu piedāvājums dalībai iepirkumā</w:t>
      </w:r>
      <w:r w:rsidR="00F5644A">
        <w:rPr>
          <w:rFonts w:eastAsia="Calibri"/>
          <w:lang w:eastAsia="en-US"/>
        </w:rPr>
        <w:t>.</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F5644A">
        <w:t>Lokālā tāme</w:t>
      </w:r>
      <w:r w:rsidR="00720F2B">
        <w:t>.</w:t>
      </w:r>
    </w:p>
    <w:p w:rsidR="00DA0289" w:rsidRPr="009C2684" w:rsidRDefault="00DA0289" w:rsidP="00DA0289">
      <w:pPr>
        <w:jc w:val="both"/>
      </w:pPr>
      <w:proofErr w:type="spellStart"/>
      <w:r w:rsidRPr="009C2684">
        <w:t>3.pielikums</w:t>
      </w:r>
      <w:proofErr w:type="spellEnd"/>
      <w:r w:rsidRPr="009C2684">
        <w:t xml:space="preserve"> – </w:t>
      </w:r>
      <w:r w:rsidR="00842727">
        <w:t>Pieredzes apraksts</w:t>
      </w:r>
      <w:r w:rsidR="00720F2B">
        <w:t>.</w:t>
      </w:r>
    </w:p>
    <w:p w:rsidR="00DA0289" w:rsidRDefault="00DA0289" w:rsidP="00DA0289">
      <w:pPr>
        <w:ind w:left="1276" w:hanging="1276"/>
        <w:jc w:val="both"/>
      </w:pPr>
      <w:proofErr w:type="spellStart"/>
      <w:r w:rsidRPr="009C2684">
        <w:t>4.pielikums</w:t>
      </w:r>
      <w:proofErr w:type="spellEnd"/>
      <w:r w:rsidRPr="009C2684">
        <w:t xml:space="preserve"> – </w:t>
      </w:r>
      <w:r w:rsidR="00E70F59">
        <w:t>Iesaistīt</w:t>
      </w:r>
      <w:r w:rsidR="00720F2B">
        <w:t>o</w:t>
      </w:r>
      <w:r w:rsidR="00E70F59">
        <w:t xml:space="preserve"> speciālistu pieredze.</w:t>
      </w:r>
    </w:p>
    <w:p w:rsidR="00C61ED0" w:rsidRPr="009C2684" w:rsidRDefault="00C61ED0" w:rsidP="00DA0289">
      <w:pPr>
        <w:ind w:left="1276" w:hanging="1276"/>
        <w:jc w:val="both"/>
      </w:pPr>
      <w:proofErr w:type="spellStart"/>
      <w:r>
        <w:t>5.pielikums</w:t>
      </w:r>
      <w:proofErr w:type="spellEnd"/>
      <w:r>
        <w:t xml:space="preserve"> -  Apakšuzņēmēju saraksts</w:t>
      </w:r>
    </w:p>
    <w:p w:rsidR="00B05B91" w:rsidRDefault="00842727" w:rsidP="00030F4A">
      <w:pPr>
        <w:jc w:val="both"/>
      </w:pPr>
      <w:proofErr w:type="spellStart"/>
      <w:r>
        <w:t>5</w:t>
      </w:r>
      <w:r w:rsidR="00DA0289" w:rsidRPr="009C2684">
        <w:t>.pielikums</w:t>
      </w:r>
      <w:proofErr w:type="spellEnd"/>
      <w:r w:rsidR="00DA0289" w:rsidRPr="009C2684">
        <w:t xml:space="preserve"> – </w:t>
      </w:r>
      <w:r w:rsidR="00E70F59">
        <w:t>Apakšuzņēmēj</w:t>
      </w:r>
      <w:r w:rsidR="00C61ED0">
        <w:t>a</w:t>
      </w:r>
      <w:r w:rsidR="00D93806">
        <w:t xml:space="preserve"> </w:t>
      </w:r>
      <w:r w:rsidR="00E70F59">
        <w:t>apliecinājums.</w:t>
      </w:r>
    </w:p>
    <w:p w:rsidR="00E70F59" w:rsidRDefault="003D0ED1" w:rsidP="00030F4A">
      <w:pPr>
        <w:jc w:val="both"/>
      </w:pPr>
      <w:proofErr w:type="spellStart"/>
      <w:r>
        <w:t>7</w:t>
      </w:r>
      <w:r w:rsidR="00E70F59">
        <w:t>.pielikums</w:t>
      </w:r>
      <w:proofErr w:type="spellEnd"/>
      <w:r w:rsidR="00E70F59">
        <w:t xml:space="preserve"> –</w:t>
      </w:r>
      <w:r w:rsidR="00720F2B">
        <w:t xml:space="preserve"> </w:t>
      </w:r>
      <w:r w:rsidR="00E70F59">
        <w:t>Līguma projekts.</w:t>
      </w:r>
    </w:p>
    <w:p w:rsidR="007318CA" w:rsidRDefault="007318CA" w:rsidP="00030F4A">
      <w:pPr>
        <w:jc w:val="both"/>
      </w:pPr>
      <w:proofErr w:type="spellStart"/>
      <w:r>
        <w:t>8.pielikums</w:t>
      </w:r>
      <w:proofErr w:type="spellEnd"/>
      <w:r>
        <w:t xml:space="preserve"> – Trases novietojuma shēma.</w:t>
      </w:r>
    </w:p>
    <w:sectPr w:rsidR="007318CA"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ED9" w:rsidRDefault="00DB5ED9" w:rsidP="00DA0289">
      <w:r>
        <w:separator/>
      </w:r>
    </w:p>
  </w:endnote>
  <w:endnote w:type="continuationSeparator" w:id="0">
    <w:p w:rsidR="00DB5ED9" w:rsidRDefault="00DB5ED9"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ED9" w:rsidRDefault="00DB5ED9" w:rsidP="00DA0289">
      <w:r>
        <w:separator/>
      </w:r>
    </w:p>
  </w:footnote>
  <w:footnote w:type="continuationSeparator" w:id="0">
    <w:p w:rsidR="00DB5ED9" w:rsidRDefault="00DB5ED9"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8"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589225F5"/>
    <w:multiLevelType w:val="multilevel"/>
    <w:tmpl w:val="949CA43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2"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0"/>
  </w:num>
  <w:num w:numId="3">
    <w:abstractNumId w:val="2"/>
  </w:num>
  <w:num w:numId="4">
    <w:abstractNumId w:val="12"/>
  </w:num>
  <w:num w:numId="5">
    <w:abstractNumId w:val="9"/>
  </w:num>
  <w:num w:numId="6">
    <w:abstractNumId w:val="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66DB0"/>
    <w:rsid w:val="000716D0"/>
    <w:rsid w:val="00071DBA"/>
    <w:rsid w:val="0008110E"/>
    <w:rsid w:val="00086D3A"/>
    <w:rsid w:val="000C75AA"/>
    <w:rsid w:val="000E1193"/>
    <w:rsid w:val="000E4614"/>
    <w:rsid w:val="000F7C1A"/>
    <w:rsid w:val="00147494"/>
    <w:rsid w:val="001A0C95"/>
    <w:rsid w:val="001C0774"/>
    <w:rsid w:val="001C0DB1"/>
    <w:rsid w:val="001C3188"/>
    <w:rsid w:val="00200D8A"/>
    <w:rsid w:val="0020372D"/>
    <w:rsid w:val="00221CF9"/>
    <w:rsid w:val="0022386C"/>
    <w:rsid w:val="002437A4"/>
    <w:rsid w:val="00266954"/>
    <w:rsid w:val="00293F3A"/>
    <w:rsid w:val="002A7B06"/>
    <w:rsid w:val="002D1E52"/>
    <w:rsid w:val="002F2E0A"/>
    <w:rsid w:val="0033324B"/>
    <w:rsid w:val="00351EC0"/>
    <w:rsid w:val="00364A60"/>
    <w:rsid w:val="00365042"/>
    <w:rsid w:val="003D0ED1"/>
    <w:rsid w:val="00402DE2"/>
    <w:rsid w:val="00412D97"/>
    <w:rsid w:val="00432A14"/>
    <w:rsid w:val="00450604"/>
    <w:rsid w:val="00487DDE"/>
    <w:rsid w:val="004C18A6"/>
    <w:rsid w:val="004E546B"/>
    <w:rsid w:val="005023ED"/>
    <w:rsid w:val="00504F9E"/>
    <w:rsid w:val="00507FC9"/>
    <w:rsid w:val="00522A10"/>
    <w:rsid w:val="00537B5F"/>
    <w:rsid w:val="00545C4D"/>
    <w:rsid w:val="0054762A"/>
    <w:rsid w:val="005A70DA"/>
    <w:rsid w:val="005C4AA7"/>
    <w:rsid w:val="005C7419"/>
    <w:rsid w:val="005D2C1A"/>
    <w:rsid w:val="006322AC"/>
    <w:rsid w:val="00641061"/>
    <w:rsid w:val="00680CAA"/>
    <w:rsid w:val="006A7D13"/>
    <w:rsid w:val="006B6EF2"/>
    <w:rsid w:val="00702267"/>
    <w:rsid w:val="0071170A"/>
    <w:rsid w:val="0071634A"/>
    <w:rsid w:val="00720F2B"/>
    <w:rsid w:val="00730E97"/>
    <w:rsid w:val="007318CA"/>
    <w:rsid w:val="00753BF9"/>
    <w:rsid w:val="007637E8"/>
    <w:rsid w:val="007A1A6E"/>
    <w:rsid w:val="007F47DC"/>
    <w:rsid w:val="00803308"/>
    <w:rsid w:val="00823086"/>
    <w:rsid w:val="00823473"/>
    <w:rsid w:val="00825B16"/>
    <w:rsid w:val="0083096C"/>
    <w:rsid w:val="00834027"/>
    <w:rsid w:val="008374BF"/>
    <w:rsid w:val="00842373"/>
    <w:rsid w:val="00842727"/>
    <w:rsid w:val="008522D1"/>
    <w:rsid w:val="00855B87"/>
    <w:rsid w:val="00864F42"/>
    <w:rsid w:val="008934CC"/>
    <w:rsid w:val="00897400"/>
    <w:rsid w:val="008B35A0"/>
    <w:rsid w:val="008D4D18"/>
    <w:rsid w:val="00901305"/>
    <w:rsid w:val="00917F86"/>
    <w:rsid w:val="00937E7A"/>
    <w:rsid w:val="00947477"/>
    <w:rsid w:val="009504DA"/>
    <w:rsid w:val="0096180E"/>
    <w:rsid w:val="009B7150"/>
    <w:rsid w:val="009C2684"/>
    <w:rsid w:val="00A21A3A"/>
    <w:rsid w:val="00A26DF1"/>
    <w:rsid w:val="00A43F18"/>
    <w:rsid w:val="00A44FE2"/>
    <w:rsid w:val="00A55398"/>
    <w:rsid w:val="00A6170B"/>
    <w:rsid w:val="00A72B30"/>
    <w:rsid w:val="00A90889"/>
    <w:rsid w:val="00AD3710"/>
    <w:rsid w:val="00AD4655"/>
    <w:rsid w:val="00B37509"/>
    <w:rsid w:val="00B42708"/>
    <w:rsid w:val="00B560B6"/>
    <w:rsid w:val="00BB0419"/>
    <w:rsid w:val="00BB3608"/>
    <w:rsid w:val="00BD70C6"/>
    <w:rsid w:val="00BE727A"/>
    <w:rsid w:val="00BF344B"/>
    <w:rsid w:val="00C23B67"/>
    <w:rsid w:val="00C61ED0"/>
    <w:rsid w:val="00C74586"/>
    <w:rsid w:val="00C86E36"/>
    <w:rsid w:val="00CF378F"/>
    <w:rsid w:val="00D0345B"/>
    <w:rsid w:val="00D039B2"/>
    <w:rsid w:val="00D22058"/>
    <w:rsid w:val="00D43922"/>
    <w:rsid w:val="00D46614"/>
    <w:rsid w:val="00D53B3A"/>
    <w:rsid w:val="00D631A7"/>
    <w:rsid w:val="00D722F2"/>
    <w:rsid w:val="00D93806"/>
    <w:rsid w:val="00DA0289"/>
    <w:rsid w:val="00DB14CB"/>
    <w:rsid w:val="00DB5ED9"/>
    <w:rsid w:val="00DB7AA8"/>
    <w:rsid w:val="00DC4673"/>
    <w:rsid w:val="00DD0BB2"/>
    <w:rsid w:val="00DF3A8E"/>
    <w:rsid w:val="00E3004D"/>
    <w:rsid w:val="00E32CFE"/>
    <w:rsid w:val="00E36979"/>
    <w:rsid w:val="00E40304"/>
    <w:rsid w:val="00E45398"/>
    <w:rsid w:val="00E56BDF"/>
    <w:rsid w:val="00E70F59"/>
    <w:rsid w:val="00E71147"/>
    <w:rsid w:val="00E93641"/>
    <w:rsid w:val="00EC2D43"/>
    <w:rsid w:val="00F10430"/>
    <w:rsid w:val="00F42520"/>
    <w:rsid w:val="00F5644A"/>
    <w:rsid w:val="00F61BAE"/>
    <w:rsid w:val="00F73196"/>
    <w:rsid w:val="00F94E72"/>
    <w:rsid w:val="00FC182E"/>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DF83"/>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12" Type="http://schemas.openxmlformats.org/officeDocument/2006/relationships/hyperlink" Target="mailto:ilgonis.leisavnieks@kekavasnami.lv" TargetMode="External"/><Relationship Id="rId17" Type="http://schemas.openxmlformats.org/officeDocument/2006/relationships/hyperlink" Target="mailto:info@kekavasnami.lv" TargetMode="External"/><Relationship Id="rId2" Type="http://schemas.openxmlformats.org/officeDocument/2006/relationships/styles" Target="styles.xml"/><Relationship Id="rId16" Type="http://schemas.openxmlformats.org/officeDocument/2006/relationships/hyperlink" Target="http://www.bis.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ekavasnami.lv" TargetMode="External"/><Relationship Id="rId5" Type="http://schemas.openxmlformats.org/officeDocument/2006/relationships/footnotes" Target="footnotes.xml"/><Relationship Id="rId15" Type="http://schemas.openxmlformats.org/officeDocument/2006/relationships/hyperlink" Target="http://www.bis.gov.lv" TargetMode="External"/><Relationship Id="rId10" Type="http://schemas.openxmlformats.org/officeDocument/2006/relationships/hyperlink" Target="http://www.kekavasnam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nis@kekavasnami.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13227</Words>
  <Characters>7540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9</cp:revision>
  <cp:lastPrinted>2024-11-19T08:05:00Z</cp:lastPrinted>
  <dcterms:created xsi:type="dcterms:W3CDTF">2025-08-22T06:07:00Z</dcterms:created>
  <dcterms:modified xsi:type="dcterms:W3CDTF">2025-08-27T07:52:00Z</dcterms:modified>
</cp:coreProperties>
</file>