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DD9" w:rsidRDefault="00113CAA" w:rsidP="00122DD9">
      <w:pPr>
        <w:suppressAutoHyphens/>
        <w:ind w:right="-2"/>
        <w:jc w:val="right"/>
        <w:rPr>
          <w:sz w:val="20"/>
          <w:szCs w:val="20"/>
          <w:lang w:eastAsia="ar-SA"/>
        </w:rPr>
      </w:pPr>
      <w:proofErr w:type="spellStart"/>
      <w:r>
        <w:rPr>
          <w:sz w:val="20"/>
          <w:szCs w:val="20"/>
          <w:lang w:eastAsia="ar-SA"/>
        </w:rPr>
        <w:t>2.</w:t>
      </w:r>
      <w:bookmarkStart w:id="0" w:name="_GoBack"/>
      <w:bookmarkEnd w:id="0"/>
      <w:r w:rsidR="00122DD9">
        <w:rPr>
          <w:sz w:val="20"/>
          <w:szCs w:val="20"/>
          <w:lang w:eastAsia="ar-SA"/>
        </w:rPr>
        <w:t>pielikums</w:t>
      </w:r>
      <w:proofErr w:type="spellEnd"/>
    </w:p>
    <w:p w:rsidR="001639EA" w:rsidRDefault="001639EA" w:rsidP="001639EA">
      <w:pPr>
        <w:suppressAutoHyphens/>
        <w:ind w:right="-2"/>
        <w:jc w:val="right"/>
        <w:rPr>
          <w:bCs/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Cenu aptaujai “</w:t>
      </w:r>
      <w:r w:rsidR="002C2ECD">
        <w:rPr>
          <w:sz w:val="20"/>
          <w:szCs w:val="20"/>
          <w:lang w:eastAsia="ar-SA"/>
        </w:rPr>
        <w:t xml:space="preserve">Par </w:t>
      </w:r>
      <w:r w:rsidRPr="001639EA">
        <w:rPr>
          <w:bCs/>
          <w:sz w:val="20"/>
          <w:szCs w:val="20"/>
          <w:lang w:eastAsia="ar-SA"/>
        </w:rPr>
        <w:t>SIA “Ķekavas nami” kustamās mantas</w:t>
      </w:r>
    </w:p>
    <w:p w:rsidR="001639EA" w:rsidRPr="001639EA" w:rsidRDefault="001639EA" w:rsidP="001639EA">
      <w:pPr>
        <w:suppressAutoHyphens/>
        <w:ind w:right="-2"/>
        <w:jc w:val="right"/>
        <w:rPr>
          <w:sz w:val="20"/>
          <w:szCs w:val="20"/>
          <w:lang w:eastAsia="ar-SA"/>
        </w:rPr>
      </w:pPr>
      <w:r w:rsidRPr="001639EA">
        <w:rPr>
          <w:bCs/>
          <w:sz w:val="20"/>
          <w:szCs w:val="20"/>
          <w:lang w:eastAsia="ar-SA"/>
        </w:rPr>
        <w:t>novērtēšanas pakalpojum</w:t>
      </w:r>
      <w:r w:rsidR="002C2ECD">
        <w:rPr>
          <w:bCs/>
          <w:sz w:val="20"/>
          <w:szCs w:val="20"/>
          <w:lang w:eastAsia="ar-SA"/>
        </w:rPr>
        <w:t>a sniegšanu”</w:t>
      </w:r>
      <w:r>
        <w:rPr>
          <w:bCs/>
          <w:sz w:val="20"/>
          <w:szCs w:val="20"/>
          <w:lang w:eastAsia="ar-SA"/>
        </w:rPr>
        <w:t xml:space="preserve"> nolikumam</w:t>
      </w:r>
    </w:p>
    <w:p w:rsidR="001639EA" w:rsidRPr="001639EA" w:rsidRDefault="001639EA" w:rsidP="002A75BE">
      <w:pPr>
        <w:suppressAutoHyphens/>
        <w:ind w:right="-2"/>
        <w:jc w:val="center"/>
        <w:rPr>
          <w:b/>
          <w:sz w:val="24"/>
          <w:szCs w:val="24"/>
          <w:lang w:eastAsia="ar-SA"/>
        </w:rPr>
      </w:pPr>
    </w:p>
    <w:p w:rsidR="002A75BE" w:rsidRPr="001639EA" w:rsidRDefault="002A75BE" w:rsidP="002A75BE">
      <w:pPr>
        <w:suppressAutoHyphens/>
        <w:ind w:right="-2"/>
        <w:jc w:val="center"/>
        <w:rPr>
          <w:b/>
          <w:sz w:val="24"/>
          <w:szCs w:val="24"/>
          <w:lang w:eastAsia="ar-SA"/>
        </w:rPr>
      </w:pPr>
      <w:r w:rsidRPr="001639EA">
        <w:rPr>
          <w:b/>
          <w:sz w:val="24"/>
          <w:szCs w:val="24"/>
          <w:lang w:eastAsia="ar-SA"/>
        </w:rPr>
        <w:t>Tehniskā specifikācija</w:t>
      </w:r>
    </w:p>
    <w:p w:rsidR="002A75BE" w:rsidRDefault="002A75BE" w:rsidP="002A75BE">
      <w:pPr>
        <w:suppressAutoHyphens/>
        <w:ind w:right="-2"/>
        <w:jc w:val="center"/>
        <w:rPr>
          <w:b/>
          <w:sz w:val="24"/>
          <w:szCs w:val="24"/>
          <w:lang w:eastAsia="ar-SA"/>
        </w:rPr>
      </w:pPr>
    </w:p>
    <w:p w:rsidR="001639EA" w:rsidRDefault="001639EA" w:rsidP="001639EA">
      <w:pPr>
        <w:suppressAutoHyphens/>
        <w:ind w:right="-2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ab/>
      </w:r>
      <w:r w:rsidR="002A75BE">
        <w:rPr>
          <w:bCs/>
          <w:sz w:val="24"/>
          <w:szCs w:val="24"/>
          <w:lang w:eastAsia="ar-SA"/>
        </w:rPr>
        <w:t xml:space="preserve">Vērtēšanas uzdevums – noteikt </w:t>
      </w:r>
      <w:r w:rsidR="00004219">
        <w:rPr>
          <w:bCs/>
          <w:sz w:val="24"/>
          <w:szCs w:val="24"/>
          <w:lang w:eastAsia="ar-SA"/>
        </w:rPr>
        <w:t>kustamās mantas</w:t>
      </w:r>
      <w:r w:rsidR="002A75BE">
        <w:rPr>
          <w:bCs/>
          <w:sz w:val="24"/>
          <w:szCs w:val="24"/>
          <w:lang w:eastAsia="ar-SA"/>
        </w:rPr>
        <w:t xml:space="preserve"> atsavināšanas </w:t>
      </w:r>
      <w:r w:rsidR="00726137">
        <w:rPr>
          <w:bCs/>
          <w:sz w:val="24"/>
          <w:szCs w:val="24"/>
          <w:lang w:eastAsia="ar-SA"/>
        </w:rPr>
        <w:t>(</w:t>
      </w:r>
      <w:r w:rsidR="002A75BE">
        <w:rPr>
          <w:bCs/>
          <w:sz w:val="24"/>
          <w:szCs w:val="24"/>
          <w:lang w:eastAsia="ar-SA"/>
        </w:rPr>
        <w:t>tirgus</w:t>
      </w:r>
      <w:r w:rsidR="00726137">
        <w:rPr>
          <w:bCs/>
          <w:sz w:val="24"/>
          <w:szCs w:val="24"/>
          <w:lang w:eastAsia="ar-SA"/>
        </w:rPr>
        <w:t>)</w:t>
      </w:r>
      <w:r w:rsidR="002A75BE">
        <w:rPr>
          <w:bCs/>
          <w:sz w:val="24"/>
          <w:szCs w:val="24"/>
          <w:lang w:eastAsia="ar-SA"/>
        </w:rPr>
        <w:t xml:space="preserve"> cenu</w:t>
      </w:r>
      <w:r>
        <w:rPr>
          <w:bCs/>
          <w:sz w:val="24"/>
          <w:szCs w:val="24"/>
          <w:lang w:eastAsia="ar-SA"/>
        </w:rPr>
        <w:t>.</w:t>
      </w:r>
    </w:p>
    <w:p w:rsidR="00726137" w:rsidRDefault="001639EA" w:rsidP="00726137">
      <w:pPr>
        <w:suppressAutoHyphens/>
        <w:ind w:right="-2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ab/>
        <w:t>Par katras vērtējamās kustamās mantas</w:t>
      </w:r>
      <w:r w:rsidR="002A75BE">
        <w:rPr>
          <w:bCs/>
          <w:sz w:val="24"/>
          <w:szCs w:val="24"/>
          <w:lang w:eastAsia="ar-SA"/>
        </w:rPr>
        <w:t xml:space="preserve"> </w:t>
      </w:r>
      <w:r>
        <w:rPr>
          <w:bCs/>
          <w:sz w:val="24"/>
          <w:szCs w:val="24"/>
          <w:lang w:eastAsia="ar-SA"/>
        </w:rPr>
        <w:t xml:space="preserve">atrašanās vietu </w:t>
      </w:r>
      <w:r w:rsidR="00004219">
        <w:rPr>
          <w:bCs/>
          <w:sz w:val="24"/>
          <w:szCs w:val="24"/>
          <w:lang w:eastAsia="ar-SA"/>
        </w:rPr>
        <w:t>informāciju</w:t>
      </w:r>
      <w:r>
        <w:rPr>
          <w:bCs/>
          <w:sz w:val="24"/>
          <w:szCs w:val="24"/>
          <w:lang w:eastAsia="ar-SA"/>
        </w:rPr>
        <w:t xml:space="preserve"> </w:t>
      </w:r>
      <w:r w:rsidR="00004219">
        <w:rPr>
          <w:bCs/>
          <w:sz w:val="24"/>
          <w:szCs w:val="24"/>
          <w:lang w:eastAsia="ar-SA"/>
        </w:rPr>
        <w:t>sniegs</w:t>
      </w:r>
      <w:r>
        <w:rPr>
          <w:bCs/>
          <w:sz w:val="24"/>
          <w:szCs w:val="24"/>
          <w:lang w:eastAsia="ar-SA"/>
        </w:rPr>
        <w:t xml:space="preserve"> Pasūtītāja pārstāvi</w:t>
      </w:r>
      <w:r w:rsidR="00004219">
        <w:rPr>
          <w:bCs/>
          <w:sz w:val="24"/>
          <w:szCs w:val="24"/>
          <w:lang w:eastAsia="ar-SA"/>
        </w:rPr>
        <w:t>s</w:t>
      </w:r>
      <w:r w:rsidR="002A75BE">
        <w:rPr>
          <w:bCs/>
          <w:sz w:val="24"/>
          <w:szCs w:val="24"/>
          <w:lang w:eastAsia="ar-SA"/>
        </w:rPr>
        <w:t>. Pasūtītājs nodrošin</w:t>
      </w:r>
      <w:r w:rsidR="00C3369B">
        <w:rPr>
          <w:bCs/>
          <w:sz w:val="24"/>
          <w:szCs w:val="24"/>
          <w:lang w:eastAsia="ar-SA"/>
        </w:rPr>
        <w:t>ās</w:t>
      </w:r>
      <w:r w:rsidR="002A75BE">
        <w:rPr>
          <w:bCs/>
          <w:sz w:val="24"/>
          <w:szCs w:val="24"/>
          <w:lang w:eastAsia="ar-SA"/>
        </w:rPr>
        <w:t xml:space="preserve"> vērtētāju ar tā rīcībā esošiem vērtējuma izstrādei nepieciešamajiem dokumentiem (kopijām), kā arī nodrošin</w:t>
      </w:r>
      <w:r w:rsidR="00C3369B">
        <w:rPr>
          <w:bCs/>
          <w:sz w:val="24"/>
          <w:szCs w:val="24"/>
          <w:lang w:eastAsia="ar-SA"/>
        </w:rPr>
        <w:t>ās</w:t>
      </w:r>
      <w:r w:rsidR="002A75BE">
        <w:rPr>
          <w:bCs/>
          <w:sz w:val="24"/>
          <w:szCs w:val="24"/>
          <w:lang w:eastAsia="ar-SA"/>
        </w:rPr>
        <w:t xml:space="preserve"> vērtētāja </w:t>
      </w:r>
      <w:r w:rsidR="00726137">
        <w:rPr>
          <w:bCs/>
          <w:sz w:val="24"/>
          <w:szCs w:val="24"/>
          <w:lang w:eastAsia="ar-SA"/>
        </w:rPr>
        <w:t>pi</w:t>
      </w:r>
      <w:r w:rsidR="002A75BE">
        <w:rPr>
          <w:bCs/>
          <w:sz w:val="24"/>
          <w:szCs w:val="24"/>
          <w:lang w:eastAsia="ar-SA"/>
        </w:rPr>
        <w:t xml:space="preserve">ekļūšanu </w:t>
      </w:r>
      <w:r w:rsidR="00726137">
        <w:rPr>
          <w:bCs/>
          <w:sz w:val="24"/>
          <w:szCs w:val="24"/>
          <w:lang w:eastAsia="ar-SA"/>
        </w:rPr>
        <w:t>vērtējamajai mantai</w:t>
      </w:r>
      <w:r w:rsidR="00004219">
        <w:rPr>
          <w:bCs/>
          <w:sz w:val="24"/>
          <w:szCs w:val="24"/>
          <w:lang w:eastAsia="ar-SA"/>
        </w:rPr>
        <w:t>, ja tā atrodas slēgtā teritorijā vai telpās.</w:t>
      </w:r>
      <w:r w:rsidR="00726137">
        <w:rPr>
          <w:bCs/>
          <w:sz w:val="24"/>
          <w:szCs w:val="24"/>
          <w:lang w:eastAsia="ar-SA"/>
        </w:rPr>
        <w:tab/>
      </w:r>
    </w:p>
    <w:p w:rsidR="002A75BE" w:rsidRDefault="00726137" w:rsidP="00726137">
      <w:pPr>
        <w:suppressAutoHyphens/>
        <w:ind w:right="-2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ab/>
      </w:r>
      <w:r w:rsidR="002A75BE">
        <w:rPr>
          <w:bCs/>
          <w:sz w:val="24"/>
          <w:szCs w:val="24"/>
          <w:lang w:eastAsia="ar-SA"/>
        </w:rPr>
        <w:t xml:space="preserve">Pakalpojums jāveic apsekojot un fotografējot </w:t>
      </w:r>
      <w:r>
        <w:rPr>
          <w:bCs/>
          <w:sz w:val="24"/>
          <w:szCs w:val="24"/>
          <w:lang w:eastAsia="ar-SA"/>
        </w:rPr>
        <w:t>kustamo mantu</w:t>
      </w:r>
      <w:r w:rsidR="002A75BE">
        <w:rPr>
          <w:bCs/>
          <w:sz w:val="24"/>
          <w:szCs w:val="24"/>
          <w:lang w:eastAsia="ar-SA"/>
        </w:rPr>
        <w:t xml:space="preserve"> </w:t>
      </w:r>
      <w:r w:rsidR="00004219">
        <w:rPr>
          <w:bCs/>
          <w:sz w:val="24"/>
          <w:szCs w:val="24"/>
          <w:lang w:eastAsia="ar-SA"/>
        </w:rPr>
        <w:t>klātienē</w:t>
      </w:r>
      <w:r w:rsidR="002A75BE">
        <w:rPr>
          <w:bCs/>
          <w:sz w:val="24"/>
          <w:szCs w:val="24"/>
          <w:lang w:eastAsia="ar-SA"/>
        </w:rPr>
        <w:t>.</w:t>
      </w:r>
    </w:p>
    <w:p w:rsidR="002A75BE" w:rsidRDefault="002A75BE" w:rsidP="00726137">
      <w:pPr>
        <w:tabs>
          <w:tab w:val="left" w:pos="709"/>
          <w:tab w:val="left" w:pos="851"/>
          <w:tab w:val="left" w:pos="2127"/>
        </w:tabs>
        <w:suppressAutoHyphens/>
        <w:ind w:left="709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Vērtējumā jāiekļauj: </w:t>
      </w:r>
    </w:p>
    <w:p w:rsidR="002A75BE" w:rsidRDefault="002A75BE" w:rsidP="00C3369B">
      <w:pPr>
        <w:tabs>
          <w:tab w:val="left" w:pos="709"/>
          <w:tab w:val="left" w:pos="851"/>
        </w:tabs>
        <w:suppressAutoHyphens/>
        <w:ind w:left="720" w:hanging="720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1) titullapa, kurā norādīta vērtējamā</w:t>
      </w:r>
      <w:r w:rsidR="00726137">
        <w:rPr>
          <w:bCs/>
          <w:sz w:val="24"/>
          <w:szCs w:val="24"/>
          <w:lang w:eastAsia="ar-SA"/>
        </w:rPr>
        <w:t>s</w:t>
      </w:r>
      <w:r>
        <w:rPr>
          <w:bCs/>
          <w:sz w:val="24"/>
          <w:szCs w:val="24"/>
          <w:lang w:eastAsia="ar-SA"/>
        </w:rPr>
        <w:t xml:space="preserve"> kustamā</w:t>
      </w:r>
      <w:r w:rsidR="00726137">
        <w:rPr>
          <w:bCs/>
          <w:sz w:val="24"/>
          <w:szCs w:val="24"/>
          <w:lang w:eastAsia="ar-SA"/>
        </w:rPr>
        <w:t>s mantas nosaukumu, atrašanās</w:t>
      </w:r>
      <w:r>
        <w:rPr>
          <w:bCs/>
          <w:sz w:val="24"/>
          <w:szCs w:val="24"/>
          <w:lang w:eastAsia="ar-SA"/>
        </w:rPr>
        <w:t xml:space="preserve"> adres</w:t>
      </w:r>
      <w:r w:rsidR="00726137">
        <w:rPr>
          <w:bCs/>
          <w:sz w:val="24"/>
          <w:szCs w:val="24"/>
          <w:lang w:eastAsia="ar-SA"/>
        </w:rPr>
        <w:t>i</w:t>
      </w:r>
      <w:r>
        <w:rPr>
          <w:bCs/>
          <w:sz w:val="24"/>
          <w:szCs w:val="24"/>
          <w:lang w:eastAsia="ar-SA"/>
        </w:rPr>
        <w:t>;</w:t>
      </w:r>
      <w:r>
        <w:rPr>
          <w:bCs/>
          <w:sz w:val="24"/>
          <w:szCs w:val="24"/>
          <w:lang w:eastAsia="ar-SA"/>
        </w:rPr>
        <w:tab/>
      </w:r>
    </w:p>
    <w:p w:rsidR="002A75BE" w:rsidRDefault="002A75BE" w:rsidP="00C3369B">
      <w:pPr>
        <w:tabs>
          <w:tab w:val="left" w:pos="709"/>
          <w:tab w:val="left" w:pos="851"/>
        </w:tabs>
        <w:suppressAutoHyphens/>
        <w:ind w:left="720" w:hanging="720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2) būtiskākā informācija par vērtējamo kustamo īpašumu</w:t>
      </w:r>
      <w:r w:rsidR="00726137">
        <w:rPr>
          <w:bCs/>
          <w:sz w:val="24"/>
          <w:szCs w:val="24"/>
          <w:lang w:eastAsia="ar-SA"/>
        </w:rPr>
        <w:t xml:space="preserve"> t.sk</w:t>
      </w:r>
      <w:r w:rsidR="00004219">
        <w:rPr>
          <w:bCs/>
          <w:sz w:val="24"/>
          <w:szCs w:val="24"/>
          <w:lang w:eastAsia="ar-SA"/>
        </w:rPr>
        <w:t>.</w:t>
      </w:r>
      <w:r w:rsidR="00726137">
        <w:rPr>
          <w:bCs/>
          <w:sz w:val="24"/>
          <w:szCs w:val="24"/>
          <w:lang w:eastAsia="ar-SA"/>
        </w:rPr>
        <w:t>,</w:t>
      </w:r>
      <w:r w:rsidR="00004219">
        <w:rPr>
          <w:bCs/>
          <w:sz w:val="24"/>
          <w:szCs w:val="24"/>
          <w:lang w:eastAsia="ar-SA"/>
        </w:rPr>
        <w:t xml:space="preserve"> </w:t>
      </w:r>
      <w:r>
        <w:rPr>
          <w:bCs/>
          <w:sz w:val="24"/>
          <w:szCs w:val="24"/>
          <w:lang w:eastAsia="ar-SA"/>
        </w:rPr>
        <w:t>fotogrāfijas;</w:t>
      </w:r>
    </w:p>
    <w:p w:rsidR="002A75BE" w:rsidRDefault="002A75BE" w:rsidP="00C3369B">
      <w:pPr>
        <w:tabs>
          <w:tab w:val="left" w:pos="709"/>
          <w:tab w:val="left" w:pos="851"/>
        </w:tabs>
        <w:suppressAutoHyphens/>
        <w:ind w:left="720" w:hanging="862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  3) izmantotās vērtēšanas metodes;</w:t>
      </w:r>
    </w:p>
    <w:p w:rsidR="002A75BE" w:rsidRDefault="002A75BE" w:rsidP="00C3369B">
      <w:pPr>
        <w:tabs>
          <w:tab w:val="left" w:pos="709"/>
          <w:tab w:val="left" w:pos="851"/>
        </w:tabs>
        <w:suppressAutoHyphens/>
        <w:ind w:left="720" w:hanging="862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  4) tirgus vērtība (atsavināšanas maksa);</w:t>
      </w:r>
    </w:p>
    <w:p w:rsidR="002A75BE" w:rsidRDefault="002A75BE" w:rsidP="00F0123A">
      <w:pPr>
        <w:tabs>
          <w:tab w:val="left" w:pos="426"/>
          <w:tab w:val="left" w:pos="851"/>
        </w:tabs>
        <w:suppressAutoHyphens/>
        <w:ind w:hanging="142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  5) vērtētāja neatkarības apliecinājums, ka nav tādu apstākļu, kas var ietekmēt pakalpojuma sniegšanu vai apšaubīt novērtējumā izmantoto datu objektivitāti;</w:t>
      </w:r>
    </w:p>
    <w:p w:rsidR="002A75BE" w:rsidRDefault="002A75BE" w:rsidP="00F0123A">
      <w:pPr>
        <w:tabs>
          <w:tab w:val="left" w:pos="426"/>
          <w:tab w:val="left" w:pos="851"/>
        </w:tabs>
        <w:suppressAutoHyphens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6) licences un tiešā pakalpojuma izpildes veicēja profesionālās kvalifikācijas sertifikāta kopijas, kā arī dokument</w:t>
      </w:r>
      <w:r w:rsidR="00F0123A">
        <w:rPr>
          <w:bCs/>
          <w:sz w:val="24"/>
          <w:szCs w:val="24"/>
          <w:lang w:eastAsia="ar-SA"/>
        </w:rPr>
        <w:t>i</w:t>
      </w:r>
      <w:r>
        <w:rPr>
          <w:bCs/>
          <w:sz w:val="24"/>
          <w:szCs w:val="24"/>
          <w:lang w:eastAsia="ar-SA"/>
        </w:rPr>
        <w:t>, kas izmantot</w:t>
      </w:r>
      <w:r w:rsidR="00F0123A">
        <w:rPr>
          <w:bCs/>
          <w:sz w:val="24"/>
          <w:szCs w:val="24"/>
          <w:lang w:eastAsia="ar-SA"/>
        </w:rPr>
        <w:t>i</w:t>
      </w:r>
      <w:r>
        <w:rPr>
          <w:bCs/>
          <w:sz w:val="24"/>
          <w:szCs w:val="24"/>
          <w:lang w:eastAsia="ar-SA"/>
        </w:rPr>
        <w:t xml:space="preserve"> vērtējuma sagatavošanā;</w:t>
      </w:r>
    </w:p>
    <w:p w:rsidR="002A75BE" w:rsidRDefault="002A75BE" w:rsidP="00C3369B">
      <w:pPr>
        <w:tabs>
          <w:tab w:val="left" w:pos="709"/>
          <w:tab w:val="left" w:pos="851"/>
        </w:tabs>
        <w:suppressAutoHyphens/>
        <w:ind w:left="720" w:hanging="862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  7) vērtētāja vai vērtētāja vadītāja paraksts, zīmogs, datums;</w:t>
      </w:r>
    </w:p>
    <w:p w:rsidR="002A75BE" w:rsidRDefault="002A75BE" w:rsidP="00726137">
      <w:pPr>
        <w:tabs>
          <w:tab w:val="left" w:pos="851"/>
        </w:tabs>
        <w:suppressAutoHyphens/>
        <w:ind w:firstLine="709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Pirms pakalpojuma nodošanas – pieņemšanas akta parakstīšanas </w:t>
      </w:r>
      <w:r w:rsidR="00726137">
        <w:rPr>
          <w:bCs/>
          <w:sz w:val="24"/>
          <w:szCs w:val="24"/>
          <w:lang w:eastAsia="ar-SA"/>
        </w:rPr>
        <w:t>Pasūtītājam</w:t>
      </w:r>
      <w:r>
        <w:rPr>
          <w:bCs/>
          <w:sz w:val="24"/>
          <w:szCs w:val="24"/>
          <w:lang w:eastAsia="ar-SA"/>
        </w:rPr>
        <w:t xml:space="preserve"> ir tiesības prasīt </w:t>
      </w:r>
      <w:r w:rsidR="00F0123A">
        <w:rPr>
          <w:bCs/>
          <w:sz w:val="24"/>
          <w:szCs w:val="24"/>
          <w:lang w:eastAsia="ar-SA"/>
        </w:rPr>
        <w:t xml:space="preserve">paskaidrojumus </w:t>
      </w:r>
      <w:r>
        <w:rPr>
          <w:bCs/>
          <w:sz w:val="24"/>
          <w:szCs w:val="24"/>
          <w:lang w:eastAsia="ar-SA"/>
        </w:rPr>
        <w:t xml:space="preserve">par veikto </w:t>
      </w:r>
      <w:r w:rsidR="00F0123A">
        <w:rPr>
          <w:bCs/>
          <w:sz w:val="24"/>
          <w:szCs w:val="24"/>
          <w:lang w:eastAsia="ar-SA"/>
        </w:rPr>
        <w:t>vērtējumu vai atgriezt papildināšanai</w:t>
      </w:r>
      <w:r>
        <w:rPr>
          <w:bCs/>
          <w:sz w:val="24"/>
          <w:szCs w:val="24"/>
          <w:lang w:eastAsia="ar-SA"/>
        </w:rPr>
        <w:t>.</w:t>
      </w:r>
    </w:p>
    <w:p w:rsidR="00793453" w:rsidRDefault="002A75BE" w:rsidP="00726137">
      <w:pPr>
        <w:tabs>
          <w:tab w:val="left" w:pos="851"/>
          <w:tab w:val="left" w:pos="2127"/>
        </w:tabs>
        <w:suppressAutoHyphens/>
        <w:ind w:firstLine="709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Novērtējuma atskaite jāsagatavo elektroniskā veidā</w:t>
      </w:r>
      <w:r w:rsidR="00793453">
        <w:rPr>
          <w:bCs/>
          <w:sz w:val="24"/>
          <w:szCs w:val="24"/>
          <w:lang w:eastAsia="ar-SA"/>
        </w:rPr>
        <w:t>, parakstīta ar drošu elektronisko parakstu</w:t>
      </w:r>
      <w:r>
        <w:rPr>
          <w:bCs/>
          <w:sz w:val="24"/>
          <w:szCs w:val="24"/>
          <w:lang w:eastAsia="ar-SA"/>
        </w:rPr>
        <w:t xml:space="preserve">. </w:t>
      </w:r>
    </w:p>
    <w:p w:rsidR="002A75BE" w:rsidRDefault="002A75BE" w:rsidP="00726137">
      <w:pPr>
        <w:tabs>
          <w:tab w:val="left" w:pos="851"/>
          <w:tab w:val="left" w:pos="2127"/>
        </w:tabs>
        <w:suppressAutoHyphens/>
        <w:ind w:firstLine="709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Novērtējuma atskaite kopā ar nodošanas – pieņemšanas akts jāiesniedz, elektroniskā veidā, nosūtot uz e-pastu </w:t>
      </w:r>
      <w:hyperlink r:id="rId5" w:history="1">
        <w:proofErr w:type="spellStart"/>
        <w:r w:rsidR="00726137" w:rsidRPr="008F47C8">
          <w:rPr>
            <w:rStyle w:val="Hyperlink"/>
            <w:bCs/>
            <w:sz w:val="24"/>
            <w:szCs w:val="24"/>
            <w:lang w:eastAsia="ar-SA"/>
          </w:rPr>
          <w:t>info@kekavasnami.lv</w:t>
        </w:r>
        <w:proofErr w:type="spellEnd"/>
      </w:hyperlink>
      <w:r w:rsidR="00793453">
        <w:rPr>
          <w:bCs/>
          <w:sz w:val="24"/>
          <w:szCs w:val="24"/>
          <w:lang w:eastAsia="ar-SA"/>
        </w:rPr>
        <w:t>.</w:t>
      </w:r>
    </w:p>
    <w:p w:rsidR="002C2ECD" w:rsidRDefault="002C2ECD" w:rsidP="00726137">
      <w:pPr>
        <w:tabs>
          <w:tab w:val="left" w:pos="851"/>
          <w:tab w:val="left" w:pos="2127"/>
        </w:tabs>
        <w:suppressAutoHyphens/>
        <w:ind w:firstLine="709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Pasūtītājas iesniegto vērtējumu vai tā daļu izmantos sludinājumam elektronisko izsoļu platformā. Ja Pretendents nevēlas publicēt kādu no vērtējuma kopuma daļām, tas var iesniegt atsevišķo failu publicēšanai, to saskaņojot ar Pasūtītāju</w:t>
      </w:r>
    </w:p>
    <w:p w:rsidR="00B05B91" w:rsidRDefault="00113CAA"/>
    <w:sectPr w:rsidR="00B05B91" w:rsidSect="0070226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13CA"/>
    <w:multiLevelType w:val="multilevel"/>
    <w:tmpl w:val="32788FE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30" w:hanging="45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BE"/>
    <w:rsid w:val="00004219"/>
    <w:rsid w:val="000B3BD4"/>
    <w:rsid w:val="00113CAA"/>
    <w:rsid w:val="00122DD9"/>
    <w:rsid w:val="0014121C"/>
    <w:rsid w:val="001639EA"/>
    <w:rsid w:val="001A0C95"/>
    <w:rsid w:val="001C0DB1"/>
    <w:rsid w:val="001C3188"/>
    <w:rsid w:val="00200D8A"/>
    <w:rsid w:val="002A75BE"/>
    <w:rsid w:val="002C2ECD"/>
    <w:rsid w:val="00504F9E"/>
    <w:rsid w:val="00545C4D"/>
    <w:rsid w:val="006F108A"/>
    <w:rsid w:val="00702267"/>
    <w:rsid w:val="00726137"/>
    <w:rsid w:val="00761DF6"/>
    <w:rsid w:val="00793453"/>
    <w:rsid w:val="00796C19"/>
    <w:rsid w:val="007F47DC"/>
    <w:rsid w:val="00876EE4"/>
    <w:rsid w:val="00A21A3A"/>
    <w:rsid w:val="00A60170"/>
    <w:rsid w:val="00A6170B"/>
    <w:rsid w:val="00C3369B"/>
    <w:rsid w:val="00CF378F"/>
    <w:rsid w:val="00DF3A8E"/>
    <w:rsid w:val="00F0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0C30"/>
  <w15:chartTrackingRefBased/>
  <w15:docId w15:val="{73598638-C40C-4499-826D-616E31F6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75B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  <w:szCs w:val="24"/>
    </w:rPr>
  </w:style>
  <w:style w:type="character" w:styleId="Hyperlink">
    <w:name w:val="Hyperlink"/>
    <w:basedOn w:val="DefaultParagraphFont"/>
    <w:uiPriority w:val="99"/>
    <w:unhideWhenUsed/>
    <w:rsid w:val="007261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ekavasnam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4</cp:revision>
  <cp:lastPrinted>2023-11-16T15:20:00Z</cp:lastPrinted>
  <dcterms:created xsi:type="dcterms:W3CDTF">2025-11-20T09:19:00Z</dcterms:created>
  <dcterms:modified xsi:type="dcterms:W3CDTF">2025-11-20T10:35:00Z</dcterms:modified>
</cp:coreProperties>
</file>